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054"/>
        <w:gridCol w:w="1667"/>
        <w:gridCol w:w="3436"/>
      </w:tblGrid>
      <w:tr w:rsidR="00DE41B7" w14:paraId="4EE39D00" w14:textId="77777777" w:rsidTr="00DE41B7">
        <w:tc>
          <w:tcPr>
            <w:tcW w:w="1731" w:type="dxa"/>
            <w:tcBorders>
              <w:top w:val="single" w:sz="4" w:space="0" w:color="auto"/>
              <w:left w:val="single" w:sz="4" w:space="0" w:color="auto"/>
              <w:bottom w:val="single" w:sz="4" w:space="0" w:color="auto"/>
              <w:right w:val="single" w:sz="4" w:space="0" w:color="auto"/>
            </w:tcBorders>
            <w:shd w:val="clear" w:color="auto" w:fill="F3F3F3"/>
            <w:tcMar>
              <w:top w:w="170" w:type="dxa"/>
              <w:left w:w="108" w:type="dxa"/>
              <w:bottom w:w="170" w:type="dxa"/>
              <w:right w:w="108" w:type="dxa"/>
            </w:tcMar>
            <w:hideMark/>
          </w:tcPr>
          <w:p w14:paraId="33108062" w14:textId="77777777" w:rsidR="00DE41B7" w:rsidRDefault="00DE41B7">
            <w:pPr>
              <w:pStyle w:val="StyleBoldBefore6ptAfter6pt"/>
              <w:spacing w:before="0" w:after="0"/>
            </w:pPr>
            <w:r>
              <w:t>Title</w:t>
            </w:r>
          </w:p>
        </w:tc>
        <w:tc>
          <w:tcPr>
            <w:tcW w:w="8097" w:type="dxa"/>
            <w:gridSpan w:val="3"/>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hideMark/>
          </w:tcPr>
          <w:p w14:paraId="1B19FBF5" w14:textId="77777777" w:rsidR="00DE41B7" w:rsidRDefault="00DE41B7">
            <w:pPr>
              <w:rPr>
                <w:b/>
              </w:rPr>
            </w:pPr>
            <w:r>
              <w:rPr>
                <w:b/>
              </w:rPr>
              <w:t>Describe the principles of static and dynamic balancing, and carry out static balancing</w:t>
            </w:r>
          </w:p>
        </w:tc>
      </w:tr>
      <w:tr w:rsidR="00DE41B7" w14:paraId="622A8859" w14:textId="77777777" w:rsidTr="00DE41B7">
        <w:tc>
          <w:tcPr>
            <w:tcW w:w="1731" w:type="dxa"/>
            <w:tcBorders>
              <w:top w:val="single" w:sz="4" w:space="0" w:color="auto"/>
              <w:left w:val="single" w:sz="4" w:space="0" w:color="auto"/>
              <w:bottom w:val="single" w:sz="4" w:space="0" w:color="auto"/>
              <w:right w:val="single" w:sz="4" w:space="0" w:color="auto"/>
            </w:tcBorders>
            <w:shd w:val="clear" w:color="auto" w:fill="F3F3F3"/>
            <w:tcMar>
              <w:top w:w="170" w:type="dxa"/>
              <w:left w:w="108" w:type="dxa"/>
              <w:bottom w:w="170" w:type="dxa"/>
              <w:right w:w="108" w:type="dxa"/>
            </w:tcMar>
            <w:hideMark/>
          </w:tcPr>
          <w:p w14:paraId="0D0AEF48" w14:textId="77777777" w:rsidR="00DE41B7" w:rsidRDefault="00DE41B7">
            <w:pPr>
              <w:pStyle w:val="StyleBoldBefore6ptAfter6pt"/>
              <w:spacing w:before="0" w:after="0"/>
            </w:pPr>
            <w:r>
              <w:t>Level</w:t>
            </w:r>
          </w:p>
        </w:tc>
        <w:tc>
          <w:tcPr>
            <w:tcW w:w="317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hideMark/>
          </w:tcPr>
          <w:p w14:paraId="778A4E4E" w14:textId="77777777" w:rsidR="00DE41B7" w:rsidRDefault="00DE41B7">
            <w:pPr>
              <w:rPr>
                <w:b/>
              </w:rPr>
            </w:pPr>
            <w:r>
              <w:rPr>
                <w:b/>
              </w:rPr>
              <w:t>3</w:t>
            </w:r>
          </w:p>
        </w:tc>
        <w:tc>
          <w:tcPr>
            <w:tcW w:w="1729" w:type="dxa"/>
            <w:tcBorders>
              <w:top w:val="single" w:sz="4" w:space="0" w:color="auto"/>
              <w:left w:val="single" w:sz="4" w:space="0" w:color="auto"/>
              <w:bottom w:val="single" w:sz="4" w:space="0" w:color="auto"/>
              <w:right w:val="single" w:sz="4" w:space="0" w:color="auto"/>
            </w:tcBorders>
            <w:shd w:val="clear" w:color="auto" w:fill="F3F3F3"/>
            <w:tcMar>
              <w:top w:w="170" w:type="dxa"/>
              <w:left w:w="108" w:type="dxa"/>
              <w:bottom w:w="170" w:type="dxa"/>
              <w:right w:w="108" w:type="dxa"/>
            </w:tcMar>
            <w:hideMark/>
          </w:tcPr>
          <w:p w14:paraId="0FEB0C89" w14:textId="77777777" w:rsidR="00DE41B7" w:rsidRDefault="00DE41B7">
            <w:pPr>
              <w:rPr>
                <w:b/>
                <w:color w:val="000000"/>
              </w:rPr>
            </w:pPr>
            <w:r>
              <w:rPr>
                <w:b/>
              </w:rPr>
              <w:t>Credits</w:t>
            </w:r>
          </w:p>
        </w:tc>
        <w:tc>
          <w:tcPr>
            <w:tcW w:w="3575"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hideMark/>
          </w:tcPr>
          <w:p w14:paraId="474CA389" w14:textId="77777777" w:rsidR="00DE41B7" w:rsidRDefault="00DE41B7">
            <w:pPr>
              <w:rPr>
                <w:b/>
              </w:rPr>
            </w:pPr>
            <w:r>
              <w:rPr>
                <w:b/>
              </w:rPr>
              <w:t>4</w:t>
            </w:r>
          </w:p>
        </w:tc>
      </w:tr>
    </w:tbl>
    <w:p w14:paraId="14BDA669" w14:textId="77777777" w:rsidR="00DE41B7" w:rsidRDefault="00DE41B7" w:rsidP="00DE41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6974"/>
      </w:tblGrid>
      <w:tr w:rsidR="00DE41B7" w14:paraId="4BAB1AFC" w14:textId="77777777" w:rsidTr="00DE41B7">
        <w:tc>
          <w:tcPr>
            <w:tcW w:w="2868" w:type="dxa"/>
            <w:tcBorders>
              <w:top w:val="single" w:sz="4" w:space="0" w:color="auto"/>
              <w:left w:val="single" w:sz="4" w:space="0" w:color="auto"/>
              <w:bottom w:val="single" w:sz="4" w:space="0" w:color="auto"/>
              <w:right w:val="single" w:sz="4" w:space="0" w:color="auto"/>
            </w:tcBorders>
            <w:shd w:val="clear" w:color="auto" w:fill="F3F3F3"/>
            <w:tcMar>
              <w:top w:w="170" w:type="dxa"/>
              <w:left w:w="108" w:type="dxa"/>
              <w:bottom w:w="170" w:type="dxa"/>
              <w:right w:w="108" w:type="dxa"/>
            </w:tcMar>
            <w:hideMark/>
          </w:tcPr>
          <w:p w14:paraId="4AA5C915" w14:textId="77777777" w:rsidR="00DE41B7" w:rsidRDefault="00DE41B7">
            <w:pPr>
              <w:pStyle w:val="StyleBoldBefore6ptAfter6pt"/>
              <w:spacing w:before="0" w:after="0"/>
            </w:pPr>
            <w:r>
              <w:rPr>
                <w:bCs w:val="0"/>
              </w:rPr>
              <w:t>Purpose</w:t>
            </w:r>
          </w:p>
        </w:tc>
        <w:tc>
          <w:tcPr>
            <w:tcW w:w="6974"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hideMark/>
          </w:tcPr>
          <w:p w14:paraId="55201AA5" w14:textId="77777777" w:rsidR="00DE41B7" w:rsidRDefault="00DE41B7">
            <w:pPr>
              <w:tabs>
                <w:tab w:val="left" w:pos="1417"/>
              </w:tabs>
            </w:pPr>
            <w:bookmarkStart w:id="0" w:name="_GoBack"/>
            <w:r>
              <w:t>People credited with this unit standard are able to describe the principles of static and dynamic balancing, and carry out static balancing of components.</w:t>
            </w:r>
            <w:bookmarkEnd w:id="0"/>
          </w:p>
        </w:tc>
      </w:tr>
    </w:tbl>
    <w:p w14:paraId="7E3716BA" w14:textId="77777777" w:rsidR="00DE41B7" w:rsidRDefault="00DE41B7" w:rsidP="00DE41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6974"/>
      </w:tblGrid>
      <w:tr w:rsidR="00DE41B7" w14:paraId="67159467" w14:textId="77777777" w:rsidTr="00DE41B7">
        <w:tc>
          <w:tcPr>
            <w:tcW w:w="2868" w:type="dxa"/>
            <w:tcBorders>
              <w:top w:val="single" w:sz="4" w:space="0" w:color="auto"/>
              <w:left w:val="single" w:sz="4" w:space="0" w:color="auto"/>
              <w:bottom w:val="single" w:sz="4" w:space="0" w:color="auto"/>
              <w:right w:val="single" w:sz="4" w:space="0" w:color="auto"/>
            </w:tcBorders>
            <w:shd w:val="clear" w:color="auto" w:fill="F3F3F3"/>
            <w:tcMar>
              <w:top w:w="170" w:type="dxa"/>
              <w:left w:w="108" w:type="dxa"/>
              <w:bottom w:w="170" w:type="dxa"/>
              <w:right w:w="108" w:type="dxa"/>
            </w:tcMar>
            <w:hideMark/>
          </w:tcPr>
          <w:p w14:paraId="226FCDF7" w14:textId="77777777" w:rsidR="00DE41B7" w:rsidRDefault="00DE41B7">
            <w:pPr>
              <w:pStyle w:val="StyleBoldBefore6ptAfter6pt"/>
              <w:spacing w:before="0" w:after="0"/>
              <w:rPr>
                <w:bCs w:val="0"/>
              </w:rPr>
            </w:pPr>
            <w:r>
              <w:rPr>
                <w:bCs w:val="0"/>
              </w:rPr>
              <w:t>Classification</w:t>
            </w:r>
          </w:p>
        </w:tc>
        <w:tc>
          <w:tcPr>
            <w:tcW w:w="6974"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hideMark/>
          </w:tcPr>
          <w:p w14:paraId="363D41E4" w14:textId="77777777" w:rsidR="00DE41B7" w:rsidRDefault="00DE41B7">
            <w:r>
              <w:t>Mechanical Engineering &gt; Maintenance and Diagnostics in Mechanical Engineering</w:t>
            </w:r>
          </w:p>
        </w:tc>
      </w:tr>
    </w:tbl>
    <w:p w14:paraId="41EB25AF" w14:textId="77777777" w:rsidR="00DE41B7" w:rsidRDefault="00DE41B7" w:rsidP="00DE41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6974"/>
      </w:tblGrid>
      <w:tr w:rsidR="00DE41B7" w14:paraId="7AB43010" w14:textId="77777777" w:rsidTr="00DE41B7">
        <w:tc>
          <w:tcPr>
            <w:tcW w:w="2868" w:type="dxa"/>
            <w:tcBorders>
              <w:top w:val="single" w:sz="4" w:space="0" w:color="auto"/>
              <w:left w:val="single" w:sz="4" w:space="0" w:color="auto"/>
              <w:bottom w:val="single" w:sz="4" w:space="0" w:color="auto"/>
              <w:right w:val="single" w:sz="4" w:space="0" w:color="auto"/>
            </w:tcBorders>
            <w:shd w:val="clear" w:color="auto" w:fill="F3F3F3"/>
            <w:tcMar>
              <w:top w:w="170" w:type="dxa"/>
              <w:left w:w="108" w:type="dxa"/>
              <w:bottom w:w="170" w:type="dxa"/>
              <w:right w:w="108" w:type="dxa"/>
            </w:tcMar>
            <w:hideMark/>
          </w:tcPr>
          <w:p w14:paraId="7511847C" w14:textId="77777777" w:rsidR="00DE41B7" w:rsidRDefault="00DE41B7">
            <w:pPr>
              <w:pStyle w:val="StyleBoldBefore6ptAfter6pt"/>
              <w:spacing w:before="0" w:after="0"/>
              <w:rPr>
                <w:bCs w:val="0"/>
              </w:rPr>
            </w:pPr>
            <w:r>
              <w:rPr>
                <w:bCs w:val="0"/>
              </w:rPr>
              <w:t>Available grade</w:t>
            </w:r>
          </w:p>
        </w:tc>
        <w:tc>
          <w:tcPr>
            <w:tcW w:w="6974"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hideMark/>
          </w:tcPr>
          <w:p w14:paraId="3C14880D" w14:textId="77777777" w:rsidR="00DE41B7" w:rsidRDefault="00DE41B7">
            <w:r>
              <w:t>Achieved</w:t>
            </w:r>
          </w:p>
        </w:tc>
      </w:tr>
    </w:tbl>
    <w:p w14:paraId="6DA4D1BE" w14:textId="77777777" w:rsidR="00AD4869" w:rsidRDefault="00AD4869">
      <w:pPr>
        <w:rPr>
          <w:rFonts w:cs="Arial"/>
        </w:rPr>
      </w:pPr>
    </w:p>
    <w:p w14:paraId="670F50A5" w14:textId="77777777" w:rsidR="00DE41B7" w:rsidRDefault="00DE41B7" w:rsidP="00DE41B7">
      <w:pPr>
        <w:pBdr>
          <w:top w:val="single" w:sz="4" w:space="1" w:color="auto"/>
        </w:pBdr>
        <w:tabs>
          <w:tab w:val="left" w:pos="567"/>
        </w:tabs>
        <w:rPr>
          <w:rFonts w:cs="Arial"/>
          <w:b/>
          <w:bCs/>
          <w:szCs w:val="24"/>
        </w:rPr>
      </w:pPr>
      <w:r>
        <w:rPr>
          <w:rFonts w:cs="Arial"/>
          <w:b/>
          <w:bCs/>
          <w:szCs w:val="24"/>
        </w:rPr>
        <w:t>Explanatory notes</w:t>
      </w:r>
    </w:p>
    <w:p w14:paraId="5195B610" w14:textId="77777777" w:rsidR="00DE41B7" w:rsidRDefault="00DE41B7" w:rsidP="00DE41B7">
      <w:pPr>
        <w:tabs>
          <w:tab w:val="left" w:pos="567"/>
          <w:tab w:val="left" w:pos="1134"/>
          <w:tab w:val="left" w:pos="1417"/>
        </w:tabs>
        <w:ind w:left="567" w:hanging="567"/>
        <w:rPr>
          <w:rFonts w:cs="Arial"/>
        </w:rPr>
      </w:pPr>
    </w:p>
    <w:p w14:paraId="777661C5" w14:textId="77777777" w:rsidR="00DE41B7" w:rsidRDefault="00DE41B7" w:rsidP="00DE41B7">
      <w:pPr>
        <w:tabs>
          <w:tab w:val="left" w:pos="567"/>
          <w:tab w:val="left" w:pos="1134"/>
          <w:tab w:val="left" w:pos="1417"/>
        </w:tabs>
        <w:ind w:left="567" w:hanging="567"/>
        <w:rPr>
          <w:rFonts w:cs="Arial"/>
        </w:rPr>
      </w:pPr>
      <w:r>
        <w:rPr>
          <w:rFonts w:cs="Arial"/>
        </w:rPr>
        <w:t>1</w:t>
      </w:r>
      <w:r>
        <w:rPr>
          <w:rFonts w:cs="Arial"/>
        </w:rPr>
        <w:tab/>
        <w:t>Reference</w:t>
      </w:r>
    </w:p>
    <w:p w14:paraId="1391BA3B" w14:textId="77777777" w:rsidR="00DE41B7" w:rsidRDefault="00DE41B7" w:rsidP="00DE41B7">
      <w:pPr>
        <w:tabs>
          <w:tab w:val="left" w:pos="567"/>
          <w:tab w:val="left" w:pos="1134"/>
          <w:tab w:val="left" w:pos="1417"/>
        </w:tabs>
        <w:ind w:left="567" w:hanging="567"/>
        <w:rPr>
          <w:rFonts w:cs="Arial"/>
        </w:rPr>
      </w:pPr>
      <w:r>
        <w:rPr>
          <w:rFonts w:cs="Arial"/>
        </w:rPr>
        <w:tab/>
        <w:t>Health and Safety in Employment Act 1992.</w:t>
      </w:r>
    </w:p>
    <w:p w14:paraId="58A2200E" w14:textId="77777777" w:rsidR="00DE41B7" w:rsidRDefault="00DE41B7" w:rsidP="00DE41B7">
      <w:pPr>
        <w:tabs>
          <w:tab w:val="left" w:pos="567"/>
          <w:tab w:val="left" w:pos="1134"/>
          <w:tab w:val="left" w:pos="1417"/>
        </w:tabs>
        <w:ind w:left="567" w:hanging="567"/>
        <w:rPr>
          <w:rFonts w:cs="Arial"/>
          <w:i/>
        </w:rPr>
      </w:pPr>
    </w:p>
    <w:p w14:paraId="5EB4A2E2" w14:textId="77777777" w:rsidR="00DE41B7" w:rsidRDefault="00DE41B7" w:rsidP="00DE41B7">
      <w:pPr>
        <w:tabs>
          <w:tab w:val="left" w:pos="567"/>
          <w:tab w:val="left" w:pos="1134"/>
          <w:tab w:val="left" w:pos="1417"/>
        </w:tabs>
        <w:ind w:left="567" w:hanging="567"/>
        <w:rPr>
          <w:rFonts w:cs="Arial"/>
        </w:rPr>
      </w:pPr>
      <w:r>
        <w:rPr>
          <w:rFonts w:cs="Arial"/>
        </w:rPr>
        <w:t>2</w:t>
      </w:r>
      <w:r>
        <w:rPr>
          <w:rFonts w:cs="Arial"/>
        </w:rPr>
        <w:tab/>
        <w:t>Definition</w:t>
      </w:r>
    </w:p>
    <w:p w14:paraId="52D9A439" w14:textId="77777777" w:rsidR="00DE41B7" w:rsidRDefault="00DE41B7" w:rsidP="00DE41B7">
      <w:pPr>
        <w:tabs>
          <w:tab w:val="left" w:pos="567"/>
          <w:tab w:val="left" w:pos="1134"/>
          <w:tab w:val="left" w:pos="1417"/>
        </w:tabs>
        <w:ind w:left="567" w:hanging="567"/>
        <w:rPr>
          <w:rFonts w:cs="Arial"/>
        </w:rPr>
      </w:pPr>
      <w:r>
        <w:rPr>
          <w:rFonts w:cs="Arial"/>
          <w:i/>
        </w:rPr>
        <w:tab/>
        <w:t>Industry practice</w:t>
      </w:r>
      <w:r>
        <w:rPr>
          <w:rFonts w:cs="Arial"/>
        </w:rPr>
        <w:t xml:space="preserve"> – </w:t>
      </w:r>
      <w:r>
        <w:rPr>
          <w:lang w:eastAsia="zh-TW"/>
        </w:rPr>
        <w:t>safe and sound trade practices generally accepted by competent persons within the mechanical engineering industry.</w:t>
      </w:r>
    </w:p>
    <w:p w14:paraId="027DFCAC" w14:textId="77777777" w:rsidR="00DE41B7" w:rsidRDefault="00DE41B7" w:rsidP="00DE41B7">
      <w:pPr>
        <w:tabs>
          <w:tab w:val="left" w:pos="567"/>
          <w:tab w:val="left" w:pos="1134"/>
          <w:tab w:val="left" w:pos="1417"/>
        </w:tabs>
        <w:ind w:left="567" w:hanging="567"/>
        <w:rPr>
          <w:rFonts w:cs="Arial"/>
        </w:rPr>
      </w:pPr>
      <w:r>
        <w:rPr>
          <w:rFonts w:cs="Arial"/>
          <w:i/>
        </w:rPr>
        <w:tab/>
        <w:t>Worksite procedures</w:t>
      </w:r>
      <w:r>
        <w:rPr>
          <w:rFonts w:cs="Arial"/>
        </w:rPr>
        <w:t xml:space="preserve"> – documents that include: worksite rules, codes, and practices; equipment operating instructions and maintenance schedules; documented quality management systems; and health and safety requirements.</w:t>
      </w:r>
    </w:p>
    <w:p w14:paraId="3652FD6B" w14:textId="77777777" w:rsidR="00AD4869" w:rsidRDefault="00AD4869">
      <w:pPr>
        <w:tabs>
          <w:tab w:val="left" w:pos="567"/>
        </w:tabs>
        <w:rPr>
          <w:rFonts w:cs="Arial"/>
        </w:rPr>
      </w:pPr>
    </w:p>
    <w:p w14:paraId="28D0CEC9" w14:textId="77777777" w:rsidR="00DE41B7" w:rsidRDefault="00DE41B7" w:rsidP="00DE41B7">
      <w:pPr>
        <w:pBdr>
          <w:top w:val="single" w:sz="4" w:space="1" w:color="auto"/>
        </w:pBdr>
        <w:tabs>
          <w:tab w:val="left" w:pos="1134"/>
        </w:tabs>
        <w:ind w:left="1134" w:hanging="1134"/>
        <w:rPr>
          <w:rFonts w:cs="Arial"/>
          <w:b/>
          <w:bCs/>
          <w:sz w:val="28"/>
        </w:rPr>
      </w:pPr>
      <w:r>
        <w:rPr>
          <w:b/>
          <w:bCs/>
          <w:sz w:val="28"/>
        </w:rPr>
        <w:t>Outcomes and evidence requirement</w:t>
      </w:r>
      <w:r>
        <w:rPr>
          <w:rFonts w:cs="Arial"/>
          <w:b/>
          <w:bCs/>
          <w:sz w:val="28"/>
        </w:rPr>
        <w:t>s</w:t>
      </w:r>
    </w:p>
    <w:p w14:paraId="6D99C87D" w14:textId="77777777" w:rsidR="00DE41B7" w:rsidRDefault="00DE41B7" w:rsidP="00DE41B7">
      <w:pPr>
        <w:tabs>
          <w:tab w:val="left" w:pos="1134"/>
        </w:tabs>
        <w:ind w:left="1134" w:hanging="1134"/>
        <w:rPr>
          <w:rFonts w:cs="Arial"/>
          <w:u w:val="single"/>
        </w:rPr>
      </w:pPr>
    </w:p>
    <w:p w14:paraId="3FAD4A96" w14:textId="77777777" w:rsidR="00DE41B7" w:rsidRDefault="00DE41B7" w:rsidP="00DE41B7">
      <w:pPr>
        <w:tabs>
          <w:tab w:val="left" w:pos="1134"/>
        </w:tabs>
        <w:ind w:left="1134" w:hanging="1134"/>
        <w:rPr>
          <w:rFonts w:cs="Arial"/>
          <w:b/>
        </w:rPr>
      </w:pPr>
      <w:r>
        <w:rPr>
          <w:rFonts w:cs="Arial"/>
          <w:b/>
        </w:rPr>
        <w:t>Outcome 1</w:t>
      </w:r>
    </w:p>
    <w:p w14:paraId="76133AF9" w14:textId="77777777" w:rsidR="00DE41B7" w:rsidRDefault="00DE41B7" w:rsidP="00DE41B7">
      <w:pPr>
        <w:tabs>
          <w:tab w:val="left" w:pos="1134"/>
        </w:tabs>
        <w:ind w:left="1134" w:hanging="1134"/>
        <w:rPr>
          <w:rFonts w:cs="Arial"/>
        </w:rPr>
      </w:pPr>
    </w:p>
    <w:p w14:paraId="5ACA6488" w14:textId="77777777" w:rsidR="00DE41B7" w:rsidRDefault="00DE41B7" w:rsidP="00DE41B7">
      <w:pPr>
        <w:tabs>
          <w:tab w:val="left" w:pos="1134"/>
        </w:tabs>
        <w:ind w:left="1134" w:hanging="1134"/>
        <w:rPr>
          <w:rFonts w:cs="Arial"/>
        </w:rPr>
      </w:pPr>
      <w:r>
        <w:rPr>
          <w:rFonts w:cs="Arial"/>
        </w:rPr>
        <w:t>Describe the principles of static and dynamic balancing.</w:t>
      </w:r>
    </w:p>
    <w:p w14:paraId="217F9BD6" w14:textId="77777777" w:rsidR="00DE41B7" w:rsidRDefault="00DE41B7" w:rsidP="00DE41B7">
      <w:pPr>
        <w:tabs>
          <w:tab w:val="left" w:pos="1134"/>
        </w:tabs>
        <w:ind w:left="1134" w:hanging="1134"/>
        <w:rPr>
          <w:rFonts w:cs="Arial"/>
          <w:b/>
          <w:u w:val="single"/>
        </w:rPr>
      </w:pPr>
    </w:p>
    <w:p w14:paraId="378A1FD5" w14:textId="77777777" w:rsidR="00DE41B7" w:rsidRDefault="00DE41B7" w:rsidP="00DE41B7">
      <w:pPr>
        <w:tabs>
          <w:tab w:val="left" w:pos="1134"/>
        </w:tabs>
        <w:ind w:left="1134" w:hanging="1134"/>
        <w:rPr>
          <w:rFonts w:cs="Arial"/>
          <w:b/>
        </w:rPr>
      </w:pPr>
      <w:r>
        <w:rPr>
          <w:rFonts w:cs="Arial"/>
          <w:b/>
        </w:rPr>
        <w:t>Evidence requirements</w:t>
      </w:r>
    </w:p>
    <w:p w14:paraId="48F405F8" w14:textId="77777777" w:rsidR="00DE41B7" w:rsidRDefault="00DE41B7" w:rsidP="00DE41B7">
      <w:pPr>
        <w:tabs>
          <w:tab w:val="left" w:pos="1134"/>
        </w:tabs>
        <w:ind w:left="1134" w:hanging="1134"/>
        <w:rPr>
          <w:rFonts w:cs="Arial"/>
        </w:rPr>
      </w:pPr>
    </w:p>
    <w:p w14:paraId="5495E1E5" w14:textId="77777777" w:rsidR="00DE41B7" w:rsidRDefault="00DE41B7" w:rsidP="00DE41B7">
      <w:pPr>
        <w:tabs>
          <w:tab w:val="left" w:pos="1134"/>
          <w:tab w:val="left" w:pos="2552"/>
        </w:tabs>
        <w:ind w:left="1134" w:hanging="1134"/>
        <w:rPr>
          <w:rFonts w:cs="Arial"/>
        </w:rPr>
      </w:pPr>
      <w:r>
        <w:rPr>
          <w:rFonts w:cs="Arial"/>
        </w:rPr>
        <w:t>1.1</w:t>
      </w:r>
      <w:r>
        <w:rPr>
          <w:rFonts w:cs="Arial"/>
        </w:rPr>
        <w:tab/>
        <w:t>The difference between static and dynamic balancing of components is described.</w:t>
      </w:r>
    </w:p>
    <w:p w14:paraId="1507F020" w14:textId="77777777" w:rsidR="00DE41B7" w:rsidRDefault="00DE41B7" w:rsidP="00DE41B7">
      <w:pPr>
        <w:tabs>
          <w:tab w:val="left" w:pos="1134"/>
          <w:tab w:val="left" w:pos="2552"/>
        </w:tabs>
        <w:ind w:left="1123" w:hanging="1123"/>
        <w:rPr>
          <w:rFonts w:cs="Arial"/>
        </w:rPr>
      </w:pPr>
    </w:p>
    <w:p w14:paraId="6C93BE9C" w14:textId="77777777" w:rsidR="00DE41B7" w:rsidRDefault="00DE41B7" w:rsidP="00DE41B7">
      <w:pPr>
        <w:tabs>
          <w:tab w:val="left" w:pos="1134"/>
          <w:tab w:val="left" w:pos="2552"/>
        </w:tabs>
        <w:ind w:left="1134" w:hanging="1134"/>
        <w:rPr>
          <w:rFonts w:cs="Arial"/>
        </w:rPr>
      </w:pPr>
      <w:r>
        <w:rPr>
          <w:rFonts w:cs="Arial"/>
        </w:rPr>
        <w:t>1.2</w:t>
      </w:r>
      <w:r>
        <w:rPr>
          <w:rFonts w:cs="Arial"/>
        </w:rPr>
        <w:tab/>
        <w:t>The terminology associated with static and dynamic balancing is used.</w:t>
      </w:r>
    </w:p>
    <w:p w14:paraId="7B044F58" w14:textId="77777777" w:rsidR="00DE41B7" w:rsidRDefault="00DE41B7" w:rsidP="00DE41B7">
      <w:pPr>
        <w:tabs>
          <w:tab w:val="left" w:pos="1134"/>
          <w:tab w:val="left" w:pos="2552"/>
        </w:tabs>
        <w:ind w:left="1123" w:hanging="1123"/>
        <w:rPr>
          <w:rFonts w:cs="Arial"/>
        </w:rPr>
      </w:pPr>
    </w:p>
    <w:p w14:paraId="6F64D9BA" w14:textId="77777777" w:rsidR="00DE41B7" w:rsidRDefault="00DE41B7" w:rsidP="00DE41B7">
      <w:pPr>
        <w:tabs>
          <w:tab w:val="left" w:pos="0"/>
          <w:tab w:val="left" w:pos="1134"/>
          <w:tab w:val="left" w:pos="2551"/>
        </w:tabs>
        <w:ind w:left="2551" w:hanging="1417"/>
        <w:rPr>
          <w:rFonts w:cs="Arial"/>
        </w:rPr>
      </w:pPr>
      <w:r>
        <w:rPr>
          <w:rFonts w:cs="Arial"/>
        </w:rPr>
        <w:t>Range</w:t>
      </w:r>
      <w:r>
        <w:rPr>
          <w:rFonts w:cs="Arial"/>
        </w:rPr>
        <w:tab/>
        <w:t>force of gravity, centrifugal force, axis of rotation, bearing vibration, balancing weights, weight placement.</w:t>
      </w:r>
    </w:p>
    <w:p w14:paraId="0B01B108" w14:textId="77777777" w:rsidR="00DE41B7" w:rsidRDefault="00DE41B7" w:rsidP="00DE41B7">
      <w:pPr>
        <w:tabs>
          <w:tab w:val="left" w:pos="1134"/>
          <w:tab w:val="left" w:pos="2552"/>
        </w:tabs>
        <w:ind w:left="1123" w:hanging="1123"/>
        <w:rPr>
          <w:rFonts w:cs="Arial"/>
        </w:rPr>
      </w:pPr>
    </w:p>
    <w:p w14:paraId="5AF12824" w14:textId="77777777" w:rsidR="00DE41B7" w:rsidRDefault="00DE41B7" w:rsidP="00DE41B7">
      <w:pPr>
        <w:tabs>
          <w:tab w:val="left" w:pos="1134"/>
          <w:tab w:val="left" w:pos="2552"/>
        </w:tabs>
        <w:ind w:left="1134" w:hanging="1134"/>
        <w:rPr>
          <w:rFonts w:cs="Arial"/>
        </w:rPr>
      </w:pPr>
      <w:r>
        <w:rPr>
          <w:rFonts w:cs="Arial"/>
        </w:rPr>
        <w:t>1.3</w:t>
      </w:r>
      <w:r>
        <w:rPr>
          <w:rFonts w:cs="Arial"/>
        </w:rPr>
        <w:tab/>
        <w:t>The effects of an out of balance component on machine performance are described.</w:t>
      </w:r>
    </w:p>
    <w:p w14:paraId="709DDBAB" w14:textId="77777777" w:rsidR="00DE41B7" w:rsidRDefault="00DE41B7" w:rsidP="00DE41B7">
      <w:pPr>
        <w:tabs>
          <w:tab w:val="left" w:pos="1134"/>
          <w:tab w:val="left" w:pos="2552"/>
        </w:tabs>
        <w:ind w:left="1123" w:hanging="1123"/>
        <w:rPr>
          <w:rFonts w:cs="Arial"/>
        </w:rPr>
      </w:pPr>
    </w:p>
    <w:p w14:paraId="73013338" w14:textId="77777777" w:rsidR="00DE41B7" w:rsidRDefault="00DE41B7" w:rsidP="00DE41B7">
      <w:pPr>
        <w:tabs>
          <w:tab w:val="left" w:pos="1134"/>
          <w:tab w:val="left" w:pos="2552"/>
        </w:tabs>
        <w:ind w:left="1134" w:hanging="1134"/>
        <w:rPr>
          <w:rFonts w:cs="Arial"/>
        </w:rPr>
      </w:pPr>
      <w:r>
        <w:rPr>
          <w:rFonts w:cs="Arial"/>
        </w:rPr>
        <w:lastRenderedPageBreak/>
        <w:t>1.4</w:t>
      </w:r>
      <w:r>
        <w:rPr>
          <w:rFonts w:cs="Arial"/>
        </w:rPr>
        <w:tab/>
        <w:t>Methods of statically and dynamically balancing components are described with reference to balancing equipment and material addition and removal.</w:t>
      </w:r>
    </w:p>
    <w:p w14:paraId="1016CE2D" w14:textId="77777777" w:rsidR="00DE41B7" w:rsidRDefault="00DE41B7" w:rsidP="00DE41B7">
      <w:pPr>
        <w:tabs>
          <w:tab w:val="left" w:pos="1134"/>
          <w:tab w:val="left" w:pos="2552"/>
        </w:tabs>
        <w:ind w:left="1134" w:hanging="1134"/>
        <w:rPr>
          <w:rFonts w:cs="Arial"/>
        </w:rPr>
      </w:pPr>
    </w:p>
    <w:p w14:paraId="55F05E4D" w14:textId="77777777" w:rsidR="00DE41B7" w:rsidRDefault="00DE41B7" w:rsidP="00DE41B7">
      <w:pPr>
        <w:tabs>
          <w:tab w:val="left" w:pos="1134"/>
          <w:tab w:val="left" w:pos="2552"/>
        </w:tabs>
        <w:ind w:left="1134" w:hanging="1134"/>
        <w:rPr>
          <w:rFonts w:cs="Arial"/>
        </w:rPr>
      </w:pPr>
      <w:r>
        <w:rPr>
          <w:rFonts w:cs="Arial"/>
        </w:rPr>
        <w:tab/>
        <w:t>Range</w:t>
      </w:r>
      <w:r>
        <w:rPr>
          <w:rFonts w:cs="Arial"/>
        </w:rPr>
        <w:tab/>
        <w:t>components – flywheel or disk, large rotor.</w:t>
      </w:r>
    </w:p>
    <w:p w14:paraId="015E9488" w14:textId="77777777" w:rsidR="00DE41B7" w:rsidRDefault="00DE41B7" w:rsidP="00DE41B7">
      <w:pPr>
        <w:tabs>
          <w:tab w:val="left" w:pos="1134"/>
          <w:tab w:val="left" w:pos="2552"/>
        </w:tabs>
        <w:ind w:left="1123" w:hanging="1123"/>
        <w:rPr>
          <w:rFonts w:cs="Arial"/>
          <w:u w:val="single"/>
        </w:rPr>
      </w:pPr>
    </w:p>
    <w:p w14:paraId="2474CFBE" w14:textId="77777777" w:rsidR="00DE41B7" w:rsidRDefault="00DE41B7" w:rsidP="00DE41B7">
      <w:pPr>
        <w:keepNext/>
        <w:keepLines/>
        <w:tabs>
          <w:tab w:val="left" w:pos="1134"/>
          <w:tab w:val="left" w:pos="2552"/>
        </w:tabs>
        <w:ind w:left="1123" w:hanging="1123"/>
        <w:rPr>
          <w:rFonts w:cs="Arial"/>
          <w:b/>
        </w:rPr>
      </w:pPr>
      <w:r>
        <w:rPr>
          <w:rFonts w:cs="Arial"/>
          <w:b/>
        </w:rPr>
        <w:t>Outcome 2</w:t>
      </w:r>
    </w:p>
    <w:p w14:paraId="3052778E" w14:textId="77777777" w:rsidR="00DE41B7" w:rsidRDefault="00DE41B7" w:rsidP="00DE41B7">
      <w:pPr>
        <w:keepNext/>
        <w:keepLines/>
        <w:tabs>
          <w:tab w:val="left" w:pos="1134"/>
          <w:tab w:val="left" w:pos="2552"/>
        </w:tabs>
        <w:ind w:left="1123" w:hanging="1123"/>
        <w:rPr>
          <w:rFonts w:cs="Arial"/>
        </w:rPr>
      </w:pPr>
    </w:p>
    <w:p w14:paraId="66C14528" w14:textId="77777777" w:rsidR="00DE41B7" w:rsidRDefault="00DE41B7" w:rsidP="00DE41B7">
      <w:pPr>
        <w:keepNext/>
        <w:keepLines/>
        <w:tabs>
          <w:tab w:val="left" w:pos="1134"/>
          <w:tab w:val="left" w:pos="2552"/>
        </w:tabs>
        <w:rPr>
          <w:rFonts w:cs="Arial"/>
        </w:rPr>
      </w:pPr>
      <w:r>
        <w:rPr>
          <w:rFonts w:cs="Arial"/>
        </w:rPr>
        <w:t>Carry out static balancing of components.</w:t>
      </w:r>
    </w:p>
    <w:p w14:paraId="1F870B6D" w14:textId="77777777" w:rsidR="00DE41B7" w:rsidRDefault="00DE41B7" w:rsidP="00DE41B7">
      <w:pPr>
        <w:keepNext/>
        <w:keepLines/>
        <w:tabs>
          <w:tab w:val="left" w:pos="1134"/>
          <w:tab w:val="left" w:pos="2552"/>
        </w:tabs>
        <w:ind w:left="1123" w:hanging="1123"/>
        <w:rPr>
          <w:rFonts w:cs="Arial"/>
          <w:b/>
          <w:u w:val="single"/>
        </w:rPr>
      </w:pPr>
    </w:p>
    <w:p w14:paraId="1ACE285F" w14:textId="77777777" w:rsidR="00DE41B7" w:rsidRDefault="00DE41B7" w:rsidP="00DE41B7">
      <w:pPr>
        <w:ind w:left="1134" w:hanging="1134"/>
        <w:rPr>
          <w:rFonts w:cs="Arial"/>
        </w:rPr>
      </w:pPr>
      <w:r>
        <w:rPr>
          <w:rFonts w:cs="Arial"/>
        </w:rPr>
        <w:t>Range</w:t>
      </w:r>
      <w:r>
        <w:rPr>
          <w:rFonts w:cs="Arial"/>
        </w:rPr>
        <w:tab/>
        <w:t>may include but is not limited to – lathe face plates, shafts, grinding wheels, propellers, impellors, fans;</w:t>
      </w:r>
    </w:p>
    <w:p w14:paraId="71EF7AD5" w14:textId="77777777" w:rsidR="00DE41B7" w:rsidRDefault="00DE41B7" w:rsidP="00DE41B7">
      <w:pPr>
        <w:ind w:left="1440" w:hanging="317"/>
        <w:rPr>
          <w:rFonts w:cs="Arial"/>
        </w:rPr>
      </w:pPr>
      <w:r>
        <w:rPr>
          <w:rFonts w:cs="Arial"/>
        </w:rPr>
        <w:t>evidence is required for the balancing of at least two components.</w:t>
      </w:r>
    </w:p>
    <w:p w14:paraId="0B4831AC" w14:textId="77777777" w:rsidR="00DE41B7" w:rsidRDefault="00DE41B7" w:rsidP="00DE41B7">
      <w:pPr>
        <w:tabs>
          <w:tab w:val="left" w:pos="1134"/>
          <w:tab w:val="left" w:pos="2552"/>
        </w:tabs>
        <w:ind w:left="1123" w:hanging="1123"/>
        <w:rPr>
          <w:rFonts w:cs="Arial"/>
          <w:b/>
          <w:u w:val="single"/>
        </w:rPr>
      </w:pPr>
    </w:p>
    <w:p w14:paraId="6BA6435C" w14:textId="77777777" w:rsidR="00DE41B7" w:rsidRDefault="00DE41B7" w:rsidP="00DE41B7">
      <w:pPr>
        <w:tabs>
          <w:tab w:val="left" w:pos="1134"/>
          <w:tab w:val="left" w:pos="2552"/>
        </w:tabs>
        <w:ind w:left="1123" w:hanging="1123"/>
        <w:rPr>
          <w:rFonts w:cs="Arial"/>
          <w:b/>
        </w:rPr>
      </w:pPr>
      <w:r>
        <w:rPr>
          <w:rFonts w:cs="Arial"/>
          <w:b/>
        </w:rPr>
        <w:t>Evidence requirements</w:t>
      </w:r>
    </w:p>
    <w:p w14:paraId="6473233F" w14:textId="77777777" w:rsidR="00DE41B7" w:rsidRDefault="00DE41B7" w:rsidP="00DE41B7">
      <w:pPr>
        <w:tabs>
          <w:tab w:val="left" w:pos="1134"/>
          <w:tab w:val="left" w:pos="2552"/>
        </w:tabs>
        <w:ind w:left="1123" w:hanging="1123"/>
        <w:rPr>
          <w:rFonts w:cs="Arial"/>
        </w:rPr>
      </w:pPr>
    </w:p>
    <w:p w14:paraId="301C076C" w14:textId="77777777" w:rsidR="00DE41B7" w:rsidRDefault="00DE41B7" w:rsidP="00DE41B7">
      <w:pPr>
        <w:tabs>
          <w:tab w:val="left" w:pos="1134"/>
          <w:tab w:val="left" w:pos="2552"/>
        </w:tabs>
        <w:ind w:left="1134" w:hanging="1134"/>
        <w:rPr>
          <w:rFonts w:cs="Arial"/>
        </w:rPr>
      </w:pPr>
      <w:r>
        <w:rPr>
          <w:rFonts w:cs="Arial"/>
        </w:rPr>
        <w:t>2.1</w:t>
      </w:r>
      <w:r>
        <w:rPr>
          <w:rFonts w:cs="Arial"/>
        </w:rPr>
        <w:tab/>
        <w:t>Safety hazards are identified, and precautions are taken in accordance with worksite procedures.</w:t>
      </w:r>
    </w:p>
    <w:p w14:paraId="3E55846A" w14:textId="77777777" w:rsidR="00DE41B7" w:rsidRDefault="00DE41B7" w:rsidP="00DE41B7">
      <w:pPr>
        <w:tabs>
          <w:tab w:val="left" w:pos="1134"/>
          <w:tab w:val="left" w:pos="2552"/>
        </w:tabs>
        <w:ind w:left="1123" w:hanging="1123"/>
        <w:rPr>
          <w:rFonts w:cs="Arial"/>
        </w:rPr>
      </w:pPr>
    </w:p>
    <w:p w14:paraId="71C5A99A" w14:textId="77777777" w:rsidR="00DE41B7" w:rsidRDefault="00DE41B7" w:rsidP="00DE41B7">
      <w:pPr>
        <w:tabs>
          <w:tab w:val="left" w:pos="1134"/>
          <w:tab w:val="left" w:pos="2552"/>
        </w:tabs>
        <w:ind w:left="1134" w:hanging="1134"/>
        <w:rPr>
          <w:rFonts w:cs="Arial"/>
        </w:rPr>
      </w:pPr>
      <w:r>
        <w:rPr>
          <w:rFonts w:cs="Arial"/>
        </w:rPr>
        <w:t>2.2</w:t>
      </w:r>
      <w:r>
        <w:rPr>
          <w:rFonts w:cs="Arial"/>
        </w:rPr>
        <w:tab/>
        <w:t>Components are statically balanced in accordance with job requirements.</w:t>
      </w:r>
    </w:p>
    <w:p w14:paraId="470863A5" w14:textId="77777777" w:rsidR="00DE41B7" w:rsidRDefault="00DE41B7" w:rsidP="00DE41B7">
      <w:pPr>
        <w:tabs>
          <w:tab w:val="left" w:pos="1134"/>
          <w:tab w:val="left" w:pos="2552"/>
        </w:tabs>
        <w:ind w:left="1123" w:hanging="1123"/>
        <w:rPr>
          <w:rFonts w:cs="Arial"/>
        </w:rPr>
      </w:pPr>
    </w:p>
    <w:p w14:paraId="27E37D98" w14:textId="77777777" w:rsidR="00DE41B7" w:rsidRDefault="00DE41B7" w:rsidP="00DE41B7">
      <w:pPr>
        <w:tabs>
          <w:tab w:val="left" w:pos="1134"/>
          <w:tab w:val="left" w:pos="2552"/>
        </w:tabs>
        <w:ind w:left="1134" w:hanging="1134"/>
        <w:rPr>
          <w:rFonts w:cs="Arial"/>
        </w:rPr>
      </w:pPr>
      <w:r>
        <w:rPr>
          <w:rFonts w:cs="Arial"/>
        </w:rPr>
        <w:t>2.3</w:t>
      </w:r>
      <w:r>
        <w:rPr>
          <w:rFonts w:cs="Arial"/>
        </w:rPr>
        <w:tab/>
        <w:t>Balancing of components is recorded and checked in accordance with worksite procedures.</w:t>
      </w:r>
    </w:p>
    <w:p w14:paraId="5D560317" w14:textId="77777777" w:rsidR="00DE41B7" w:rsidRDefault="00DE41B7" w:rsidP="00DE41B7">
      <w:pPr>
        <w:tabs>
          <w:tab w:val="left" w:pos="1134"/>
          <w:tab w:val="left" w:pos="2552"/>
        </w:tabs>
        <w:ind w:left="1134" w:hanging="1134"/>
        <w:rPr>
          <w:rFonts w:cs="Arial"/>
        </w:rPr>
      </w:pPr>
    </w:p>
    <w:p w14:paraId="47C15F26" w14:textId="77777777" w:rsidR="00AD4869" w:rsidRDefault="00AD4869">
      <w:pPr>
        <w:pStyle w:val="StyleLeft0cmHanging2cm"/>
        <w:keepNext/>
        <w:pBdr>
          <w:top w:val="single" w:sz="24" w:space="1" w:color="C0C0C0"/>
        </w:pBdr>
        <w:ind w:left="1134" w:hanging="1134"/>
      </w:pPr>
    </w:p>
    <w:p w14:paraId="606C0DD1" w14:textId="77777777" w:rsidR="00AD4869" w:rsidRDefault="00AD4869">
      <w:r>
        <w:rPr>
          <w:rFonts w:cs="Arial"/>
          <w:b/>
          <w:color w:val="FF0000"/>
        </w:rPr>
        <w:t>This unit standard is expiring.  Assessment against the standard must take place by the last date for assessment set out below.</w:t>
      </w:r>
    </w:p>
    <w:p w14:paraId="2C5B030A" w14:textId="77777777" w:rsidR="00AD4869" w:rsidRDefault="00AD4869"/>
    <w:p w14:paraId="3A9050A1" w14:textId="77777777" w:rsidR="00AD4869" w:rsidRDefault="00AD4869">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34"/>
        <w:gridCol w:w="1230"/>
        <w:gridCol w:w="3299"/>
        <w:gridCol w:w="3299"/>
      </w:tblGrid>
      <w:tr w:rsidR="00DE41B7" w14:paraId="2125DDCA" w14:textId="77777777" w:rsidTr="00DE41B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hideMark/>
          </w:tcPr>
          <w:p w14:paraId="4D71FA98" w14:textId="77777777" w:rsidR="00DE41B7" w:rsidRDefault="00DE41B7">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hideMark/>
          </w:tcPr>
          <w:p w14:paraId="28A76559" w14:textId="77777777" w:rsidR="00DE41B7" w:rsidRDefault="00DE41B7">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hideMark/>
          </w:tcPr>
          <w:p w14:paraId="38E7CFCA" w14:textId="77777777" w:rsidR="00DE41B7" w:rsidRDefault="00DE41B7">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hideMark/>
          </w:tcPr>
          <w:p w14:paraId="301B44A9" w14:textId="77777777" w:rsidR="00DE41B7" w:rsidRDefault="00DE41B7">
            <w:pPr>
              <w:autoSpaceDE w:val="0"/>
              <w:autoSpaceDN w:val="0"/>
              <w:adjustRightInd w:val="0"/>
              <w:rPr>
                <w:rStyle w:val="StyleBold"/>
              </w:rPr>
            </w:pPr>
            <w:r>
              <w:rPr>
                <w:rStyle w:val="StyleBold"/>
              </w:rPr>
              <w:t>Last Date for Assessment</w:t>
            </w:r>
          </w:p>
        </w:tc>
      </w:tr>
      <w:tr w:rsidR="00432F50" w14:paraId="2F3D83EE" w14:textId="77777777" w:rsidTr="007F5900">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44BA526B" w14:textId="77777777" w:rsidR="00432F50" w:rsidRDefault="00432F50" w:rsidP="00432F50">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3AF8AA03" w14:textId="77777777" w:rsidR="00432F50" w:rsidRDefault="00432F50" w:rsidP="00432F50">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709F1871" w14:textId="77777777" w:rsidR="00432F50" w:rsidRDefault="00432F50" w:rsidP="00432F50">
            <w:pPr>
              <w:keepNext/>
              <w:rPr>
                <w:rFonts w:cs="Arial"/>
              </w:rPr>
            </w:pPr>
            <w:r>
              <w:rPr>
                <w:rFonts w:cs="Arial"/>
              </w:rPr>
              <w:t>25 October 1994</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2279A1B6" w14:textId="77777777" w:rsidR="00432F50" w:rsidRDefault="00432F50" w:rsidP="00432F50">
            <w:pPr>
              <w:keepNext/>
              <w:rPr>
                <w:rFonts w:cs="Arial"/>
              </w:rPr>
            </w:pPr>
            <w:r>
              <w:rPr>
                <w:rFonts w:cs="Arial"/>
              </w:rPr>
              <w:t>31 December 201</w:t>
            </w:r>
            <w:r w:rsidR="000126C1">
              <w:rPr>
                <w:rFonts w:cs="Arial"/>
              </w:rPr>
              <w:t>1</w:t>
            </w:r>
          </w:p>
        </w:tc>
      </w:tr>
      <w:tr w:rsidR="00432F50" w14:paraId="46CAA4E3" w14:textId="77777777" w:rsidTr="004813AE">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65FB1FDE" w14:textId="77777777" w:rsidR="00432F50" w:rsidRDefault="00432F50" w:rsidP="00432F50">
            <w:pPr>
              <w:keepNext/>
              <w:rPr>
                <w:rFonts w:cs="Arial"/>
              </w:rPr>
            </w:pPr>
            <w:r>
              <w:rPr>
                <w:rFonts w:cs="Arial"/>
              </w:rPr>
              <w:t>Revision</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6E0282C1" w14:textId="77777777" w:rsidR="00432F50" w:rsidRDefault="00432F50" w:rsidP="00432F50">
            <w:pPr>
              <w:keepNext/>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715F10A9" w14:textId="77777777" w:rsidR="00432F50" w:rsidRDefault="00432F50" w:rsidP="00432F50">
            <w:pPr>
              <w:keepNext/>
              <w:rPr>
                <w:rFonts w:cs="Arial"/>
              </w:rPr>
            </w:pPr>
            <w:r>
              <w:rPr>
                <w:rFonts w:cs="Arial"/>
              </w:rPr>
              <w:t>14 April 1997</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670F089F" w14:textId="77777777" w:rsidR="00432F50" w:rsidRDefault="00432F50" w:rsidP="00432F50">
            <w:pPr>
              <w:keepNext/>
              <w:rPr>
                <w:rFonts w:cs="Arial"/>
              </w:rPr>
            </w:pPr>
            <w:r>
              <w:rPr>
                <w:rFonts w:cs="Arial"/>
              </w:rPr>
              <w:t>31 December 201</w:t>
            </w:r>
            <w:r w:rsidR="000126C1">
              <w:rPr>
                <w:rFonts w:cs="Arial"/>
              </w:rPr>
              <w:t>1</w:t>
            </w:r>
          </w:p>
        </w:tc>
      </w:tr>
      <w:tr w:rsidR="00432F50" w14:paraId="26EEDD7E" w14:textId="77777777" w:rsidTr="007F5900">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67246C3C" w14:textId="77777777" w:rsidR="00432F50" w:rsidRDefault="00432F50" w:rsidP="00432F50">
            <w:pPr>
              <w:keepNext/>
              <w:rPr>
                <w:rFonts w:cs="Arial"/>
              </w:rPr>
            </w:pPr>
            <w:r>
              <w:rPr>
                <w:rFonts w:cs="Arial"/>
              </w:rPr>
              <w:t>Revision</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7B59167B" w14:textId="77777777" w:rsidR="00432F50" w:rsidRDefault="00432F50" w:rsidP="00432F50">
            <w:pPr>
              <w:keepNext/>
              <w:rPr>
                <w:rFonts w:cs="Arial"/>
              </w:rPr>
            </w:pPr>
            <w:r>
              <w:rPr>
                <w:rFonts w:cs="Arial"/>
              </w:rPr>
              <w:t>3</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23C060F9" w14:textId="77777777" w:rsidR="00432F50" w:rsidRDefault="00432F50" w:rsidP="00432F50">
            <w:pPr>
              <w:keepNext/>
              <w:rPr>
                <w:rFonts w:cs="Arial"/>
              </w:rPr>
            </w:pPr>
            <w:r>
              <w:rPr>
                <w:rFonts w:cs="Arial"/>
              </w:rPr>
              <w:t>5 January 1999</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265506B4" w14:textId="77777777" w:rsidR="00432F50" w:rsidRDefault="00432F50" w:rsidP="00432F50">
            <w:pPr>
              <w:keepNext/>
              <w:rPr>
                <w:rFonts w:cs="Arial"/>
              </w:rPr>
            </w:pPr>
            <w:r>
              <w:rPr>
                <w:rFonts w:cs="Arial"/>
              </w:rPr>
              <w:t>31 December 201</w:t>
            </w:r>
            <w:r w:rsidR="000126C1">
              <w:rPr>
                <w:rFonts w:cs="Arial"/>
              </w:rPr>
              <w:t>1</w:t>
            </w:r>
          </w:p>
        </w:tc>
      </w:tr>
      <w:tr w:rsidR="00432F50" w14:paraId="5819A233" w14:textId="77777777" w:rsidTr="007F5900">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34B3E3CB" w14:textId="77777777" w:rsidR="00432F50" w:rsidRDefault="00432F50" w:rsidP="00432F50">
            <w:pPr>
              <w:keepNext/>
              <w:rPr>
                <w:rFonts w:cs="Arial"/>
              </w:rPr>
            </w:pPr>
            <w:r>
              <w:rPr>
                <w:rFonts w:cs="Arial"/>
              </w:rPr>
              <w:t>Revision</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7436C559" w14:textId="77777777" w:rsidR="00432F50" w:rsidRDefault="00432F50" w:rsidP="00432F50">
            <w:pPr>
              <w:keepNext/>
              <w:rPr>
                <w:rFonts w:cs="Arial"/>
              </w:rPr>
            </w:pPr>
            <w:r>
              <w:rPr>
                <w:rFonts w:cs="Arial"/>
              </w:rPr>
              <w:t>4</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743DE908" w14:textId="77777777" w:rsidR="00432F50" w:rsidRDefault="00432F50" w:rsidP="00432F50">
            <w:pPr>
              <w:keepNext/>
              <w:rPr>
                <w:rFonts w:cs="Arial"/>
              </w:rPr>
            </w:pPr>
            <w:r>
              <w:rPr>
                <w:rFonts w:cs="Arial"/>
              </w:rPr>
              <w:t>18 September 2001</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0621C1EF" w14:textId="77777777" w:rsidR="00432F50" w:rsidRDefault="00432F50" w:rsidP="00432F50">
            <w:pPr>
              <w:keepNext/>
              <w:rPr>
                <w:rFonts w:cs="Arial"/>
              </w:rPr>
            </w:pPr>
            <w:r>
              <w:rPr>
                <w:rFonts w:cs="Arial"/>
              </w:rPr>
              <w:t>31 December 201</w:t>
            </w:r>
            <w:r w:rsidR="000126C1">
              <w:rPr>
                <w:rFonts w:cs="Arial"/>
              </w:rPr>
              <w:t>1</w:t>
            </w:r>
          </w:p>
        </w:tc>
      </w:tr>
      <w:tr w:rsidR="00432F50" w14:paraId="53ABF82B" w14:textId="77777777" w:rsidTr="007F5900">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6A705717" w14:textId="77777777" w:rsidR="00432F50" w:rsidRDefault="00432F50" w:rsidP="00432F50">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72CA0204" w14:textId="77777777" w:rsidR="00432F50" w:rsidRDefault="00432F50" w:rsidP="00432F50">
            <w:pPr>
              <w:keepNext/>
              <w:rPr>
                <w:rFonts w:cs="Arial"/>
              </w:rPr>
            </w:pPr>
            <w:r>
              <w:rPr>
                <w:rFonts w:cs="Arial"/>
              </w:rPr>
              <w:t>5</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4ABC4C89" w14:textId="77777777" w:rsidR="00432F50" w:rsidRDefault="00432F50" w:rsidP="00432F50">
            <w:pPr>
              <w:keepNext/>
              <w:rPr>
                <w:rFonts w:cs="Arial"/>
              </w:rPr>
            </w:pPr>
            <w:r>
              <w:rPr>
                <w:rFonts w:cs="Arial"/>
              </w:rPr>
              <w:t>28 April 2003</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34D111FD" w14:textId="77777777" w:rsidR="00432F50" w:rsidRDefault="00432F50" w:rsidP="00432F50">
            <w:pPr>
              <w:keepNext/>
              <w:rPr>
                <w:rFonts w:cs="Arial"/>
              </w:rPr>
            </w:pPr>
            <w:r>
              <w:rPr>
                <w:rFonts w:cs="Arial"/>
              </w:rPr>
              <w:t>31 December 201</w:t>
            </w:r>
            <w:r w:rsidR="000126C1">
              <w:rPr>
                <w:rFonts w:cs="Arial"/>
              </w:rPr>
              <w:t>1</w:t>
            </w:r>
          </w:p>
        </w:tc>
      </w:tr>
      <w:tr w:rsidR="00432F50" w14:paraId="7A65965C" w14:textId="77777777" w:rsidTr="004813AE">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075C5A9F" w14:textId="77777777" w:rsidR="00432F50" w:rsidRDefault="00432F50" w:rsidP="00432F50">
            <w:pPr>
              <w:keepNext/>
              <w:rPr>
                <w:rFonts w:cs="Arial"/>
              </w:rPr>
            </w:pPr>
            <w:r>
              <w:rPr>
                <w:rFonts w:cs="Arial"/>
              </w:rPr>
              <w:t>Rollover</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7D0D46CC" w14:textId="77777777" w:rsidR="00432F50" w:rsidRDefault="00432F50" w:rsidP="00432F50">
            <w:pPr>
              <w:keepNext/>
              <w:rPr>
                <w:rFonts w:cs="Arial"/>
              </w:rPr>
            </w:pPr>
            <w:r>
              <w:rPr>
                <w:rFonts w:cs="Arial"/>
              </w:rPr>
              <w:t>6</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0161F36E" w14:textId="77777777" w:rsidR="00432F50" w:rsidRDefault="00432F50" w:rsidP="00432F50">
            <w:pPr>
              <w:keepNext/>
              <w:rPr>
                <w:rFonts w:cs="Arial"/>
              </w:rPr>
            </w:pPr>
            <w:r>
              <w:rPr>
                <w:rFonts w:cs="Arial"/>
              </w:rPr>
              <w:t>20 June 2008</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25C4650E" w14:textId="77777777" w:rsidR="00432F50" w:rsidRDefault="00432F50" w:rsidP="00432F50">
            <w:pPr>
              <w:keepNext/>
              <w:rPr>
                <w:rFonts w:cs="Arial"/>
              </w:rPr>
            </w:pPr>
            <w:r>
              <w:rPr>
                <w:rFonts w:cs="Arial"/>
              </w:rPr>
              <w:t>31 December 201</w:t>
            </w:r>
            <w:r w:rsidR="000126C1">
              <w:rPr>
                <w:rFonts w:cs="Arial"/>
              </w:rPr>
              <w:t>4</w:t>
            </w:r>
          </w:p>
        </w:tc>
      </w:tr>
      <w:tr w:rsidR="00DE41B7" w14:paraId="780310CA" w14:textId="77777777" w:rsidTr="00DE41B7">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26464FAE" w14:textId="77777777" w:rsidR="00DE41B7" w:rsidRDefault="00DE41B7">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726B9901" w14:textId="77777777" w:rsidR="00DE41B7" w:rsidRDefault="00DE41B7">
            <w:pPr>
              <w:keepNext/>
              <w:rPr>
                <w:rFonts w:cs="Arial"/>
              </w:rPr>
            </w:pPr>
            <w:r>
              <w:rPr>
                <w:rFonts w:cs="Arial"/>
              </w:rPr>
              <w:t>7</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24D9B08E" w14:textId="77777777" w:rsidR="00DE41B7" w:rsidRDefault="00DE41B7">
            <w:pPr>
              <w:keepNext/>
              <w:rPr>
                <w:rFonts w:cs="Arial"/>
              </w:rPr>
            </w:pPr>
            <w:r>
              <w:rPr>
                <w:rFonts w:cs="Arial"/>
              </w:rPr>
              <w:t>15 April 2011</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4E56EE5C" w14:textId="77777777" w:rsidR="00DE41B7" w:rsidRDefault="00432F50">
            <w:pPr>
              <w:keepNext/>
              <w:rPr>
                <w:rFonts w:cs="Arial"/>
              </w:rPr>
            </w:pPr>
            <w:r>
              <w:rPr>
                <w:rFonts w:cs="Arial"/>
              </w:rPr>
              <w:t>31 December 2022</w:t>
            </w:r>
          </w:p>
        </w:tc>
      </w:tr>
      <w:tr w:rsidR="001D15C1" w14:paraId="7B7A53CE" w14:textId="77777777" w:rsidTr="00DE41B7">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tcPr>
          <w:p w14:paraId="28A81FA1" w14:textId="77777777" w:rsidR="001D15C1" w:rsidRDefault="001D15C1">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tcPr>
          <w:p w14:paraId="54D21BE9" w14:textId="77777777" w:rsidR="001D15C1" w:rsidRDefault="001D15C1">
            <w:pPr>
              <w:keepNext/>
              <w:rPr>
                <w:rFonts w:cs="Arial"/>
              </w:rPr>
            </w:pPr>
            <w:r>
              <w:rPr>
                <w:rFonts w:cs="Arial"/>
              </w:rPr>
              <w:t>8</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tcPr>
          <w:p w14:paraId="1B858ADF" w14:textId="77777777" w:rsidR="001D15C1" w:rsidRDefault="007E48A2">
            <w:pPr>
              <w:keepNext/>
              <w:rPr>
                <w:rFonts w:cs="Arial"/>
              </w:rPr>
            </w:pPr>
            <w:r>
              <w:rPr>
                <w:rFonts w:cs="Arial"/>
              </w:rPr>
              <w:t xml:space="preserve">17 August </w:t>
            </w:r>
            <w:r w:rsidR="00432F50">
              <w:rPr>
                <w:rFonts w:cs="Arial"/>
              </w:rPr>
              <w:t>2017</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tcPr>
          <w:p w14:paraId="6D2D3C97" w14:textId="77777777" w:rsidR="001D15C1" w:rsidRDefault="00432F50">
            <w:pPr>
              <w:keepNext/>
              <w:rPr>
                <w:rFonts w:cs="Arial"/>
              </w:rPr>
            </w:pPr>
            <w:r>
              <w:rPr>
                <w:rFonts w:cs="Arial"/>
              </w:rPr>
              <w:t>31 December 2022</w:t>
            </w:r>
          </w:p>
        </w:tc>
      </w:tr>
    </w:tbl>
    <w:p w14:paraId="1EEDF5DB" w14:textId="77777777" w:rsidR="00AD4869" w:rsidRDefault="00AD48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AD4869" w14:paraId="7DABE7E3" w14:textId="77777777">
        <w:tblPrEx>
          <w:tblCellMar>
            <w:top w:w="0" w:type="dxa"/>
            <w:bottom w:w="0" w:type="dxa"/>
          </w:tblCellMar>
        </w:tblPrEx>
        <w:tc>
          <w:tcPr>
            <w:tcW w:w="7548" w:type="dxa"/>
            <w:shd w:val="clear" w:color="auto" w:fill="F3F3F3"/>
            <w:tcMar>
              <w:top w:w="60" w:type="dxa"/>
              <w:bottom w:w="60" w:type="dxa"/>
            </w:tcMar>
          </w:tcPr>
          <w:p w14:paraId="29FD9B51" w14:textId="77777777" w:rsidR="00AD4869" w:rsidRDefault="00AD4869">
            <w:pPr>
              <w:pStyle w:val="StyleBoldBefore6ptAfter6pt"/>
              <w:keepNext/>
              <w:keepLines/>
              <w:spacing w:before="0" w:after="0"/>
            </w:pPr>
            <w:r>
              <w:t>Consent and Moderation Requirements (CMR) reference</w:t>
            </w:r>
          </w:p>
        </w:tc>
        <w:tc>
          <w:tcPr>
            <w:tcW w:w="2294" w:type="dxa"/>
            <w:tcMar>
              <w:top w:w="60" w:type="dxa"/>
              <w:bottom w:w="60" w:type="dxa"/>
            </w:tcMar>
          </w:tcPr>
          <w:p w14:paraId="013C3438" w14:textId="77777777" w:rsidR="00AD4869" w:rsidRDefault="00DE41B7">
            <w:pPr>
              <w:pStyle w:val="StyleBefore6ptAfter6pt"/>
              <w:keepNext/>
              <w:keepLines/>
              <w:spacing w:before="0" w:after="0"/>
            </w:pPr>
            <w:r>
              <w:t>0013</w:t>
            </w:r>
          </w:p>
        </w:tc>
      </w:tr>
    </w:tbl>
    <w:p w14:paraId="46EBDB5D" w14:textId="77777777" w:rsidR="00AD4869" w:rsidRDefault="00AD4869">
      <w:pPr>
        <w:keepNext/>
        <w:keepLines/>
        <w:rPr>
          <w:rFonts w:cs="Arial"/>
        </w:rPr>
      </w:pPr>
      <w:r>
        <w:rPr>
          <w:rFonts w:cs="Arial"/>
        </w:rPr>
        <w:t xml:space="preserve">This CMR can be accessed at </w:t>
      </w:r>
      <w:hyperlink r:id="rId7" w:history="1">
        <w:r>
          <w:rPr>
            <w:rStyle w:val="Hyperlink"/>
          </w:rPr>
          <w:t>http://www.nzq</w:t>
        </w:r>
        <w:r>
          <w:rPr>
            <w:rStyle w:val="Hyperlink"/>
          </w:rPr>
          <w:t>a</w:t>
        </w:r>
        <w:r>
          <w:rPr>
            <w:rStyle w:val="Hyperlink"/>
          </w:rPr>
          <w:t>.govt.nz/framework/search/index.do</w:t>
        </w:r>
      </w:hyperlink>
      <w:r>
        <w:rPr>
          <w:rFonts w:cs="Arial"/>
        </w:rPr>
        <w:t>.</w:t>
      </w:r>
    </w:p>
    <w:p w14:paraId="614B5361" w14:textId="77777777" w:rsidR="00AD4869" w:rsidRDefault="00AD4869">
      <w:pPr>
        <w:rPr>
          <w:rFonts w:cs="Arial"/>
        </w:rPr>
      </w:pPr>
    </w:p>
    <w:p w14:paraId="21CA8CDA" w14:textId="77777777" w:rsidR="00AD4869" w:rsidRDefault="00AD4869">
      <w:pPr>
        <w:keepNext/>
        <w:keepLines/>
        <w:rPr>
          <w:rFonts w:cs="Arial"/>
        </w:rPr>
      </w:pPr>
      <w:r>
        <w:rPr>
          <w:b/>
          <w:bCs/>
        </w:rPr>
        <w:t>Please note</w:t>
      </w:r>
    </w:p>
    <w:p w14:paraId="728A4E26" w14:textId="77777777" w:rsidR="00AD4869" w:rsidRDefault="00AD4869">
      <w:pPr>
        <w:keepNext/>
        <w:keepLines/>
      </w:pPr>
      <w:r>
        <w:t>Providers must be granted consent to assess against standards (accredited) by NZQA, before they can report credits from assessment against unit standards or deliver courses of study leading to that assessment.</w:t>
      </w:r>
    </w:p>
    <w:p w14:paraId="3EE50888" w14:textId="77777777" w:rsidR="00AD4869" w:rsidRDefault="00AD4869"/>
    <w:p w14:paraId="738525A4" w14:textId="77777777" w:rsidR="00AD4869" w:rsidRDefault="00AD4869">
      <w:r>
        <w:lastRenderedPageBreak/>
        <w:t>Industry Training Organisations must be granted consent to assess against standards by NZQA before they can register credits from assessment against unit standards.</w:t>
      </w:r>
    </w:p>
    <w:p w14:paraId="5601F56B" w14:textId="77777777" w:rsidR="00AD4869" w:rsidRDefault="00AD4869"/>
    <w:p w14:paraId="2430F8FE" w14:textId="77777777" w:rsidR="00AD4869" w:rsidRDefault="00AD4869">
      <w:r>
        <w:t>Providers and Industry Training Organisations, which have been granted consent and which are assessing against unit standards must engage with the moderation system that applies to those standards.</w:t>
      </w:r>
    </w:p>
    <w:p w14:paraId="05CCEA10" w14:textId="77777777" w:rsidR="00AD4869" w:rsidRDefault="00AD4869"/>
    <w:p w14:paraId="213C2DB9" w14:textId="77777777" w:rsidR="00040DF4" w:rsidRDefault="00AD4869">
      <w:r>
        <w:t>Requirements for consent to assess and an outline of the moderation system that applies to this standard are outlined in the Consent and Moderation Requirements (CMR).  The CMR also includes useful information about special requirements for organisations wishing to develop education and training programmes, such as minimum qualifications for tutors and assessors, and special resource requirements.</w:t>
      </w:r>
    </w:p>
    <w:sectPr w:rsidR="00040DF4">
      <w:headerReference w:type="default" r:id="rId8"/>
      <w:footerReference w:type="default" r:id="rId9"/>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6BE9F" w14:textId="77777777" w:rsidR="00AB3294" w:rsidRDefault="00AB3294">
      <w:r>
        <w:separator/>
      </w:r>
    </w:p>
  </w:endnote>
  <w:endnote w:type="continuationSeparator" w:id="0">
    <w:p w14:paraId="3033321B" w14:textId="77777777" w:rsidR="00AB3294" w:rsidRDefault="00AB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9693" w:type="dxa"/>
      <w:tblBorders>
        <w:top w:val="single" w:sz="12" w:space="0" w:color="auto"/>
      </w:tblBorders>
      <w:tblLook w:val="0000" w:firstRow="0" w:lastRow="0" w:firstColumn="0" w:lastColumn="0" w:noHBand="0" w:noVBand="0"/>
    </w:tblPr>
    <w:tblGrid>
      <w:gridCol w:w="4923"/>
      <w:gridCol w:w="4923"/>
      <w:gridCol w:w="4923"/>
      <w:gridCol w:w="4924"/>
    </w:tblGrid>
    <w:tr w:rsidR="00040DF4" w14:paraId="0355B2CF" w14:textId="77777777" w:rsidTr="00040DF4">
      <w:trPr>
        <w:trHeight w:val="300"/>
      </w:trPr>
      <w:tc>
        <w:tcPr>
          <w:tcW w:w="4923" w:type="dxa"/>
          <w:tcBorders>
            <w:top w:val="single" w:sz="12" w:space="0" w:color="auto"/>
            <w:left w:val="nil"/>
            <w:bottom w:val="nil"/>
            <w:right w:val="nil"/>
          </w:tcBorders>
        </w:tcPr>
        <w:p w14:paraId="1B5FC077" w14:textId="77777777" w:rsidR="00B278DC" w:rsidRDefault="00B278DC" w:rsidP="00B278DC">
          <w:pPr>
            <w:rPr>
              <w:bCs/>
              <w:iCs/>
              <w:sz w:val="20"/>
            </w:rPr>
          </w:pPr>
          <w:r>
            <w:rPr>
              <w:bCs/>
              <w:iCs/>
              <w:sz w:val="20"/>
            </w:rPr>
            <w:t>Competenz</w:t>
          </w:r>
        </w:p>
        <w:p w14:paraId="43675286" w14:textId="77777777" w:rsidR="00040DF4" w:rsidRPr="00D53FAB" w:rsidRDefault="00B278DC" w:rsidP="00B278DC">
          <w:pPr>
            <w:rPr>
              <w:bCs/>
              <w:sz w:val="20"/>
            </w:rPr>
          </w:pPr>
          <w:r>
            <w:rPr>
              <w:bCs/>
              <w:iCs/>
              <w:sz w:val="20"/>
            </w:rPr>
            <w:t>SSB Code 101571</w:t>
          </w:r>
        </w:p>
      </w:tc>
      <w:tc>
        <w:tcPr>
          <w:tcW w:w="4923" w:type="dxa"/>
          <w:tcBorders>
            <w:top w:val="single" w:sz="12" w:space="0" w:color="auto"/>
            <w:left w:val="nil"/>
            <w:bottom w:val="nil"/>
            <w:right w:val="nil"/>
          </w:tcBorders>
        </w:tcPr>
        <w:p w14:paraId="6DD5A87B" w14:textId="7AF45C73" w:rsidR="00040DF4" w:rsidRDefault="00040DF4" w:rsidP="00AD4869">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4D28DF">
            <w:rPr>
              <w:bCs/>
              <w:noProof/>
              <w:sz w:val="20"/>
            </w:rPr>
            <w:t>2019</w:t>
          </w:r>
          <w:r>
            <w:rPr>
              <w:bCs/>
              <w:sz w:val="20"/>
            </w:rPr>
            <w:fldChar w:fldCharType="end"/>
          </w:r>
        </w:p>
      </w:tc>
      <w:tc>
        <w:tcPr>
          <w:tcW w:w="4923" w:type="dxa"/>
          <w:tcBorders>
            <w:top w:val="single" w:sz="12" w:space="0" w:color="auto"/>
            <w:left w:val="nil"/>
            <w:bottom w:val="nil"/>
            <w:right w:val="nil"/>
          </w:tcBorders>
        </w:tcPr>
        <w:p w14:paraId="38AD73AA" w14:textId="79C054CD" w:rsidR="00040DF4" w:rsidRPr="00040DF4" w:rsidRDefault="004D28DF">
          <w:pPr>
            <w:rPr>
              <w:bCs/>
              <w:iCs/>
              <w:sz w:val="20"/>
            </w:rPr>
          </w:pPr>
          <w:r>
            <w:rPr>
              <w:noProof/>
            </w:rPr>
            <mc:AlternateContent>
              <mc:Choice Requires="wps">
                <w:drawing>
                  <wp:anchor distT="0" distB="0" distL="114300" distR="114300" simplePos="0" relativeHeight="251657216" behindDoc="0" locked="0" layoutInCell="1" allowOverlap="1" wp14:anchorId="45FA9E12" wp14:editId="2FCD8050">
                    <wp:simplePos x="0" y="0"/>
                    <wp:positionH relativeFrom="column">
                      <wp:posOffset>754380</wp:posOffset>
                    </wp:positionH>
                    <wp:positionV relativeFrom="paragraph">
                      <wp:posOffset>-3975735</wp:posOffset>
                    </wp:positionV>
                    <wp:extent cx="5648325" cy="1094105"/>
                    <wp:effectExtent l="0" t="0" r="0"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4090">
                              <a:off x="0" y="0"/>
                              <a:ext cx="5648325" cy="109410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FE9ED87" w14:textId="77777777" w:rsidR="00FC788F" w:rsidRDefault="00FC788F" w:rsidP="00FC788F">
                                <w:pPr>
                                  <w:pStyle w:val="NormalWeb"/>
                                  <w:spacing w:before="0" w:beforeAutospacing="0" w:after="0" w:afterAutospacing="0"/>
                                  <w:jc w:val="center"/>
                                </w:pPr>
                                <w:r w:rsidRPr="00A75F4F">
                                  <w:rPr>
                                    <w:rFonts w:ascii="Arial Black" w:hAnsi="Arial Black"/>
                                    <w:color w:val="808080"/>
                                    <w:sz w:val="56"/>
                                    <w:szCs w:val="56"/>
                                  </w:rPr>
                                  <w:t>This unit standard is expiring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FA9E12" id="_x0000_t202" coordsize="21600,21600" o:spt="202" path="m,l,21600r21600,l21600,xe">
                    <v:stroke joinstyle="miter"/>
                    <v:path gradientshapeok="t" o:connecttype="rect"/>
                  </v:shapetype>
                  <v:shape id="WordArt 6" o:spid="_x0000_s1027" type="#_x0000_t202" style="position:absolute;margin-left:59.4pt;margin-top:-313.05pt;width:444.75pt;height:86.15pt;rotation:-227638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FwgIAALYFAAAOAAAAZHJzL2Uyb0RvYy54bWysVE2PmzAQvVfqf7C4s0ACSYiWrJJs6GXb&#10;rrSp9uxgE9wCdm0nEK363zs2TnbTXqq2HCzbjN98vDdze9c3NTpSqRhvMy+6CT1E24IT1u4z78s2&#10;92ceUhq3BNe8pZl3osq7W7x/d9uJOR3xiteESgQgrZp3IvMqrcU8CFRR0QarGy5oCz9LLhus4Sj3&#10;AZG4A/SmDkZhOAk6LomQvKBKwe398NNbWPyypIX+XJaKalRnHsSm7SrtujNrsLjF873EomKFCwP/&#10;RRQNZi04vUDdY43RQbLfoBpWSK54qW8K3gS8LFlBbQ6QTRT+ks1ThQW1uUBxlLiUSf0/2OLT8VEi&#10;RoA7D7W4AYqeoaJLqdHEFKcTag42TwKsdL/ivTE0iSrxwItvCrV8XeF2T5dS8q6imEBwBspd2xS2&#10;JwG49nZLe70hDHiIDHzwBn9wpoynXfeRE3iCD5pbb30pGyQ5PPNH4SwO09BeQ/0QRATEni5kggNU&#10;wGUyiWfjUeKhAv5FYRpHYWJd4rlBMzkIqfQHyhtkNpknQS0WFh8flDbRvZoYc0CGe7cb2H1Jo1Ec&#10;rkapn09mUz/O48RPp+HMD6N0lU7COI3v8x8GNIrnFSOEtg+spWelRfGfMek0P2jEag11mZcmkJ4J&#10;R/GakZzVtT3I/W5dS3TERvL2c2lfmUl+aIlVvyFt4/Yas3rYB9cR22JAAa6zX+ZJOI3HM386TcZ+&#10;PN6E/mqWr/3lOppMppvVerWJrrPf2J5U/14AG4gFO3N1qbDz8Roy8HjmzgrOaGxQm+53vVO/E/uO&#10;kxMosIORkHnq+wFLCmo+NGsO5QQJl5I3rkPM2YRh1LPtn7EUTkgavD3W55Fg1WTs9sR1GCZfAaip&#10;YdIASygxJDmOnLFT3oBq3iqxhF7ImZWlaZohTtdBMBxstm6Qmenz9mytXsft4icAAAD//wMAUEsD&#10;BBQABgAIAAAAIQDUhFIZ4wAAAA4BAAAPAAAAZHJzL2Rvd25yZXYueG1sTI/BTsMwEETvSPyDtUhc&#10;UGunhShN41SoElIvHAgV9OjG28QiXkex24S/xz3R4+yMZt4Wm8l27IKDN44kJHMBDKl22lAjYf/5&#10;NsuA+aBIq84RSvhFD5vy/q5QuXYjfeClCg2LJeRzJaENoc8593WLVvm565Gid3KDVSHKoeF6UGMs&#10;tx1fCJFyqwzFhVb1uG2x/qnOVsJuHMaVWX357fdT1bxbc9D73UHKx4fpdQ0s4BT+w3DFj+hQRqaj&#10;O5P2rIs6ySJ6kDBLF2kC7BoRIlsCO8bb88syA14W/PaN8g8AAP//AwBQSwECLQAUAAYACAAAACEA&#10;toM4kv4AAADhAQAAEwAAAAAAAAAAAAAAAAAAAAAAW0NvbnRlbnRfVHlwZXNdLnhtbFBLAQItABQA&#10;BgAIAAAAIQA4/SH/1gAAAJQBAAALAAAAAAAAAAAAAAAAAC8BAABfcmVscy8ucmVsc1BLAQItABQA&#10;BgAIAAAAIQAUZ/uFwgIAALYFAAAOAAAAAAAAAAAAAAAAAC4CAABkcnMvZTJvRG9jLnhtbFBLAQIt&#10;ABQABgAIAAAAIQDUhFIZ4wAAAA4BAAAPAAAAAAAAAAAAAAAAABwFAABkcnMvZG93bnJldi54bWxQ&#10;SwUGAAAAAAQABADzAAAALAYAAAAA&#10;" filled="f" stroked="f">
                    <v:stroke joinstyle="round"/>
                    <o:lock v:ext="edit" shapetype="t"/>
                    <v:textbox style="mso-fit-shape-to-text:t">
                      <w:txbxContent>
                        <w:p w14:paraId="1FE9ED87" w14:textId="77777777" w:rsidR="00FC788F" w:rsidRDefault="00FC788F" w:rsidP="00FC788F">
                          <w:pPr>
                            <w:pStyle w:val="NormalWeb"/>
                            <w:spacing w:before="0" w:beforeAutospacing="0" w:after="0" w:afterAutospacing="0"/>
                            <w:jc w:val="center"/>
                          </w:pPr>
                          <w:r w:rsidRPr="00A75F4F">
                            <w:rPr>
                              <w:rFonts w:ascii="Arial Black" w:hAnsi="Arial Black"/>
                              <w:color w:val="808080"/>
                              <w:sz w:val="56"/>
                              <w:szCs w:val="56"/>
                            </w:rPr>
                            <w:t>This unit standard is expiring</w:t>
                          </w:r>
                        </w:p>
                      </w:txbxContent>
                    </v:textbox>
                  </v:shape>
                </w:pict>
              </mc:Fallback>
            </mc:AlternateContent>
          </w:r>
        </w:p>
      </w:tc>
      <w:tc>
        <w:tcPr>
          <w:tcW w:w="4924" w:type="dxa"/>
          <w:tcBorders>
            <w:top w:val="single" w:sz="12" w:space="0" w:color="auto"/>
            <w:left w:val="nil"/>
            <w:bottom w:val="nil"/>
            <w:right w:val="nil"/>
          </w:tcBorders>
        </w:tcPr>
        <w:p w14:paraId="713B19B2" w14:textId="77777777" w:rsidR="00040DF4" w:rsidRDefault="00040DF4" w:rsidP="00040DF4">
          <w:pPr>
            <w:rPr>
              <w:bCs/>
              <w:sz w:val="20"/>
            </w:rPr>
          </w:pPr>
          <w:smartTag w:uri="urn:schemas-microsoft-com:office:smarttags" w:element="place">
            <w:smartTag w:uri="urn:schemas-microsoft-com:office:smarttags" w:element="country-region">
              <w:r>
                <w:rPr>
                  <w:bCs/>
                  <w:sz w:val="20"/>
                </w:rPr>
                <w:t>New Zealand</w:t>
              </w:r>
            </w:smartTag>
          </w:smartTag>
          <w:r>
            <w:rPr>
              <w:bCs/>
              <w:sz w:val="20"/>
            </w:rPr>
            <w:t xml:space="preserve"> Qualifications Aut</w:t>
          </w:r>
        </w:p>
      </w:tc>
    </w:tr>
  </w:tbl>
  <w:p w14:paraId="09B96D78" w14:textId="77777777" w:rsidR="00AD4869" w:rsidRDefault="00AD4869">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A9F05" w14:textId="77777777" w:rsidR="00AB3294" w:rsidRDefault="00AB3294">
      <w:r>
        <w:separator/>
      </w:r>
    </w:p>
  </w:footnote>
  <w:footnote w:type="continuationSeparator" w:id="0">
    <w:p w14:paraId="562A858C" w14:textId="77777777" w:rsidR="00AB3294" w:rsidRDefault="00AB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21"/>
      <w:gridCol w:w="4817"/>
    </w:tblGrid>
    <w:tr w:rsidR="00AD4869" w14:paraId="57E6401B" w14:textId="77777777" w:rsidTr="0055670E">
      <w:tc>
        <w:tcPr>
          <w:tcW w:w="4927" w:type="dxa"/>
          <w:shd w:val="clear" w:color="auto" w:fill="auto"/>
        </w:tcPr>
        <w:p w14:paraId="517941B3" w14:textId="77777777" w:rsidR="00AD4869" w:rsidRDefault="00AD4869">
          <w:r>
            <w:t xml:space="preserve">NZQA </w:t>
          </w:r>
          <w:r w:rsidRPr="0055670E">
            <w:rPr>
              <w:color w:val="FF0000"/>
            </w:rPr>
            <w:t>Expiring</w:t>
          </w:r>
          <w:r>
            <w:t xml:space="preserve"> unit standard</w:t>
          </w:r>
        </w:p>
      </w:tc>
      <w:tc>
        <w:tcPr>
          <w:tcW w:w="4927" w:type="dxa"/>
          <w:shd w:val="clear" w:color="auto" w:fill="auto"/>
        </w:tcPr>
        <w:p w14:paraId="33DA4718" w14:textId="77777777" w:rsidR="00AD4869" w:rsidRDefault="00B278DC" w:rsidP="0055670E">
          <w:pPr>
            <w:jc w:val="right"/>
          </w:pPr>
          <w:r>
            <w:t>2400</w:t>
          </w:r>
          <w:r w:rsidR="001D15C1">
            <w:t xml:space="preserve"> version 8</w:t>
          </w:r>
        </w:p>
      </w:tc>
    </w:tr>
    <w:tr w:rsidR="00AD4869" w14:paraId="4EC3CE49" w14:textId="77777777" w:rsidTr="0055670E">
      <w:tc>
        <w:tcPr>
          <w:tcW w:w="4927" w:type="dxa"/>
          <w:shd w:val="clear" w:color="auto" w:fill="auto"/>
        </w:tcPr>
        <w:p w14:paraId="3736243A" w14:textId="77777777" w:rsidR="00AD4869" w:rsidRDefault="00AD4869"/>
      </w:tc>
      <w:tc>
        <w:tcPr>
          <w:tcW w:w="4927" w:type="dxa"/>
          <w:shd w:val="clear" w:color="auto" w:fill="auto"/>
        </w:tcPr>
        <w:p w14:paraId="3318856F" w14:textId="77777777" w:rsidR="00AD4869" w:rsidRDefault="00AD4869" w:rsidP="0055670E">
          <w:pPr>
            <w:jc w:val="right"/>
          </w:pPr>
          <w:r>
            <w:t xml:space="preserve">Page </w:t>
          </w:r>
          <w:r>
            <w:fldChar w:fldCharType="begin"/>
          </w:r>
          <w:r>
            <w:instrText xml:space="preserve"> page </w:instrText>
          </w:r>
          <w:r>
            <w:fldChar w:fldCharType="separate"/>
          </w:r>
          <w:r w:rsidR="00FC788F">
            <w:rPr>
              <w:noProof/>
            </w:rPr>
            <w:t>2</w:t>
          </w:r>
          <w:r>
            <w:fldChar w:fldCharType="end"/>
          </w:r>
          <w:r>
            <w:t xml:space="preserve"> of </w:t>
          </w:r>
          <w:fldSimple w:instr=" numpages ">
            <w:r w:rsidR="00FC788F">
              <w:rPr>
                <w:noProof/>
              </w:rPr>
              <w:t>2</w:t>
            </w:r>
          </w:fldSimple>
        </w:p>
      </w:tc>
    </w:tr>
  </w:tbl>
  <w:p w14:paraId="48CDB3FD" w14:textId="27A95BE3" w:rsidR="00AD4869" w:rsidRDefault="004D28DF">
    <w:r>
      <w:rPr>
        <w:noProof/>
      </w:rPr>
      <mc:AlternateContent>
        <mc:Choice Requires="wps">
          <w:drawing>
            <wp:anchor distT="0" distB="0" distL="114300" distR="114300" simplePos="0" relativeHeight="251658240" behindDoc="0" locked="0" layoutInCell="1" allowOverlap="1" wp14:anchorId="27676E2E" wp14:editId="04A777BE">
              <wp:simplePos x="0" y="0"/>
              <wp:positionH relativeFrom="column">
                <wp:posOffset>331470</wp:posOffset>
              </wp:positionH>
              <wp:positionV relativeFrom="paragraph">
                <wp:posOffset>5586730</wp:posOffset>
              </wp:positionV>
              <wp:extent cx="5648325" cy="109410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4090">
                        <a:off x="0" y="0"/>
                        <a:ext cx="5648325" cy="109410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A8EFDB1" w14:textId="77777777" w:rsidR="00FC788F" w:rsidRDefault="00FC788F" w:rsidP="00FC788F">
                          <w:pPr>
                            <w:pStyle w:val="NormalWeb"/>
                            <w:spacing w:before="0" w:beforeAutospacing="0" w:after="0" w:afterAutospacing="0"/>
                            <w:jc w:val="center"/>
                          </w:pPr>
                          <w:r w:rsidRPr="00A75F4F">
                            <w:rPr>
                              <w:rFonts w:ascii="Arial Black" w:hAnsi="Arial Black"/>
                              <w:color w:val="808080"/>
                              <w:sz w:val="56"/>
                              <w:szCs w:val="56"/>
                            </w:rPr>
                            <w:t>This unit standard is expiring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676E2E" id="_x0000_t202" coordsize="21600,21600" o:spt="202" path="m,l,21600r21600,l21600,xe">
              <v:stroke joinstyle="miter"/>
              <v:path gradientshapeok="t" o:connecttype="rect"/>
            </v:shapetype>
            <v:shape id="WordArt 7" o:spid="_x0000_s1026" type="#_x0000_t202" style="position:absolute;margin-left:26.1pt;margin-top:439.9pt;width:444.75pt;height:86.15pt;rotation:-22763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dAwQIAAK8FAAAOAAAAZHJzL2Uyb0RvYy54bWysVE2PmzAQvVfqf7C4s0ACSYiWrJJs6GXb&#10;rrSp9uxgE9wCdm0nEK363zs2TnbTXqq2HCzbjN98vDdze9c3NTpSqRhvMy+6CT1E24IT1u4z78s2&#10;92ceUhq3BNe8pZl3osq7W7x/d9uJOR3xiteESgQgrZp3IvMqrcU8CFRR0QarGy5oCz9LLhus4Sj3&#10;AZG4A/SmDkZhOAk6LomQvKBKwe398NNbWPyypIX+XJaKalRnHsSm7SrtujNrsLjF873EomKFCwP/&#10;RRQNZi04vUDdY43RQbLfoBpWSK54qW8K3gS8LFlBbQ6QTRT+ks1ThQW1uUBxlLiUSf0/2OLT8VEi&#10;RjJv5KEWN0DRM1R0KTWamuJ0Qs3B5kmAle5XvAeSbaJKPPDim0ItX1e43dOllLyrKCYQXARQ7tqm&#10;sD0JwLW3W9rrDWHAQ2Tggzf4gzNlPO26j5zAE3zQ3HrrS9kgyeGZPwpncZiG9hrqhyAiIPZ0IRMc&#10;oAIuk0k8G48SDxXwLwrTOAoT6xLPDZohS0ilP1DeILPJPAlqsbD4+KC0ie7VxJgDMty73cDuSxqN&#10;4nA1Sv18Mpv6cR4nfjoNZ34Ypat0EsZpfJ//MKBRPK8YIbR9YC09Ky2K/4xJp/lBI1ZrqMu8NIH0&#10;TDiK14zkrK7tQe5361qiIzaSt59L+8pM8kNLrPoNaRu315jVwz64jtgWAwpwnf0yT8JpPJ7502ky&#10;9uPxJvRXs3ztL9fRZDLdrNarTXSd/cb2pPr3AthALNiZq0uFnY/XkIHHM3dWcEZjg9p0v+udynec&#10;nEB6HcyCzFPfD1hSkPGhWXOoI2i3lLxxrWHOxr+RzbZ/xlI4BWlw81ifZ4GVkbHbE9damHwFoKaG&#10;EQP0oMSw48hxxk5yA6p5q8QSmiBnVo+mW4Y4XevAVLBpuglmxs7bs7V6nbOLnwAAAP//AwBQSwME&#10;FAAGAAgAAAAhAJY5mqLhAAAACwEAAA8AAABkcnMvZG93bnJldi54bWxMj0FLw0AQhe+C/2EZwYvY&#10;TYK1TcymSEHoxYOxaI/b7JgsZmdDdtvEf+94ssdhPt77XrmZXS/OOAbrSUG6SEAgNd5YahXs31/u&#10;1yBC1GR07wkV/GCATXV9VerC+Ine8FzHVnAIhUIr6GIcCilD06HTYeEHJP59+dHpyOfYSjPqicNd&#10;L7MkeZROW+KGTg+47bD5rk9OwW4ap9zmH2H7eVe3r84ezH53UOr2Zn5+AhFxjv8w/OmzOlTsdPQn&#10;MkH0CpZZxqSC9SrnCQzkD+kKxJHJZJmlIKtSXm6ofgEAAP//AwBQSwECLQAUAAYACAAAACEAtoM4&#10;kv4AAADhAQAAEwAAAAAAAAAAAAAAAAAAAAAAW0NvbnRlbnRfVHlwZXNdLnhtbFBLAQItABQABgAI&#10;AAAAIQA4/SH/1gAAAJQBAAALAAAAAAAAAAAAAAAAAC8BAABfcmVscy8ucmVsc1BLAQItABQABgAI&#10;AAAAIQAjnQdAwQIAAK8FAAAOAAAAAAAAAAAAAAAAAC4CAABkcnMvZTJvRG9jLnhtbFBLAQItABQA&#10;BgAIAAAAIQCWOZqi4QAAAAsBAAAPAAAAAAAAAAAAAAAAABsFAABkcnMvZG93bnJldi54bWxQSwUG&#10;AAAAAAQABADzAAAAKQYAAAAA&#10;" filled="f" stroked="f">
              <v:stroke joinstyle="round"/>
              <o:lock v:ext="edit" shapetype="t"/>
              <v:textbox style="mso-fit-shape-to-text:t">
                <w:txbxContent>
                  <w:p w14:paraId="3A8EFDB1" w14:textId="77777777" w:rsidR="00FC788F" w:rsidRDefault="00FC788F" w:rsidP="00FC788F">
                    <w:pPr>
                      <w:pStyle w:val="NormalWeb"/>
                      <w:spacing w:before="0" w:beforeAutospacing="0" w:after="0" w:afterAutospacing="0"/>
                      <w:jc w:val="center"/>
                    </w:pPr>
                    <w:r w:rsidRPr="00A75F4F">
                      <w:rPr>
                        <w:rFonts w:ascii="Arial Black" w:hAnsi="Arial Black"/>
                        <w:color w:val="808080"/>
                        <w:sz w:val="56"/>
                        <w:szCs w:val="56"/>
                      </w:rPr>
                      <w:t>This unit standard is expiring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NZ" w:vendorID="64" w:dllVersion="131078" w:nlCheck="1" w:checkStyle="1"/>
  <w:activeWritingStyle w:appName="MSWord" w:lang="en-NZ"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fillcolor="gray" stroke="f">
      <v:fill color="gray" opacity="14418f"/>
      <v:stroke on="f"/>
      <v:shadow color="#86868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B7"/>
    <w:rsid w:val="000126C1"/>
    <w:rsid w:val="00040DF4"/>
    <w:rsid w:val="001D15C1"/>
    <w:rsid w:val="002229F7"/>
    <w:rsid w:val="00291DD7"/>
    <w:rsid w:val="002E2F1C"/>
    <w:rsid w:val="00432F50"/>
    <w:rsid w:val="004813AE"/>
    <w:rsid w:val="004D28DF"/>
    <w:rsid w:val="0055670E"/>
    <w:rsid w:val="005D4253"/>
    <w:rsid w:val="006372CB"/>
    <w:rsid w:val="0075589F"/>
    <w:rsid w:val="007E48A2"/>
    <w:rsid w:val="007F5900"/>
    <w:rsid w:val="009370E5"/>
    <w:rsid w:val="00943F39"/>
    <w:rsid w:val="009610C9"/>
    <w:rsid w:val="009769B0"/>
    <w:rsid w:val="00A7442E"/>
    <w:rsid w:val="00A75F4F"/>
    <w:rsid w:val="00AB3294"/>
    <w:rsid w:val="00AD4869"/>
    <w:rsid w:val="00B278DC"/>
    <w:rsid w:val="00B72F2C"/>
    <w:rsid w:val="00B84F6C"/>
    <w:rsid w:val="00CC5190"/>
    <w:rsid w:val="00DE41B7"/>
    <w:rsid w:val="00E80C9F"/>
    <w:rsid w:val="00FC788F"/>
    <w:rsid w:val="00FF6C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fillcolor="gray" stroke="f">
      <v:fill color="gray" opacity="14418f"/>
      <v:stroke on="f"/>
      <v:shadow color="#868686"/>
    </o:shapedefaults>
    <o:shapelayout v:ext="edit">
      <o:idmap v:ext="edit" data="1"/>
    </o:shapelayout>
  </w:shapeDefaults>
  <w:decimalSymbol w:val="."/>
  <w:listSeparator w:val=","/>
  <w14:docId w14:val="5A5F9ADB"/>
  <w15:chartTrackingRefBased/>
  <w15:docId w15:val="{99CDFA98-4443-4F98-8DBD-2041EADC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character" w:customStyle="1" w:styleId="StyleBold">
    <w:name w:val="Style Bold"/>
    <w:rPr>
      <w:b/>
      <w:bCs/>
      <w:color w:val="auto"/>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FC788F"/>
    <w:pPr>
      <w:spacing w:before="100" w:beforeAutospacing="1" w:after="100" w:afterAutospacing="1"/>
    </w:pPr>
    <w:rPr>
      <w:rFonts w:ascii="Times New Roman" w:hAnsi="Times New Roman"/>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513224">
      <w:bodyDiv w:val="1"/>
      <w:marLeft w:val="0"/>
      <w:marRight w:val="0"/>
      <w:marTop w:val="0"/>
      <w:marBottom w:val="0"/>
      <w:divBdr>
        <w:top w:val="none" w:sz="0" w:space="0" w:color="auto"/>
        <w:left w:val="none" w:sz="0" w:space="0" w:color="auto"/>
        <w:bottom w:val="none" w:sz="0" w:space="0" w:color="auto"/>
        <w:right w:val="none" w:sz="0" w:space="0" w:color="auto"/>
      </w:divBdr>
    </w:div>
    <w:div w:id="1211528646">
      <w:bodyDiv w:val="1"/>
      <w:marLeft w:val="0"/>
      <w:marRight w:val="0"/>
      <w:marTop w:val="0"/>
      <w:marBottom w:val="0"/>
      <w:divBdr>
        <w:top w:val="none" w:sz="0" w:space="0" w:color="auto"/>
        <w:left w:val="none" w:sz="0" w:space="0" w:color="auto"/>
        <w:bottom w:val="none" w:sz="0" w:space="0" w:color="auto"/>
        <w:right w:val="none" w:sz="0" w:space="0" w:color="auto"/>
      </w:divBdr>
    </w:div>
    <w:div w:id="1914850494">
      <w:bodyDiv w:val="1"/>
      <w:marLeft w:val="0"/>
      <w:marRight w:val="0"/>
      <w:marTop w:val="0"/>
      <w:marBottom w:val="0"/>
      <w:divBdr>
        <w:top w:val="none" w:sz="0" w:space="0" w:color="auto"/>
        <w:left w:val="none" w:sz="0" w:space="0" w:color="auto"/>
        <w:bottom w:val="none" w:sz="0" w:space="0" w:color="auto"/>
        <w:right w:val="none" w:sz="0" w:space="0" w:color="auto"/>
      </w:divBdr>
    </w:div>
    <w:div w:id="20494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zqa.govt.nz/framework/search/index.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FR\SSBs%202016-2017\Competenz\2017-0129%20-%20C30031\Eval\Working%20Docs\expiring\Unit%20Standard%20-%20Expiring%20T2%20-%20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Unit Standard - Expiring T2 - English</Template>
  <TotalTime>1</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2400 Describe the principles of static and dynamic balancing, and carry out static balancing</vt:lpstr>
    </vt:vector>
  </TitlesOfParts>
  <Manager/>
  <Company>NZ Qualifications Authority</Company>
  <LinksUpToDate>false</LinksUpToDate>
  <CharactersWithSpaces>3861</CharactersWithSpaces>
  <SharedDoc>false</SharedDoc>
  <HyperlinkBase/>
  <HLinks>
    <vt:vector size="6" baseType="variant">
      <vt:variant>
        <vt:i4>1769491</vt:i4>
      </vt:variant>
      <vt:variant>
        <vt:i4>0</vt:i4>
      </vt:variant>
      <vt:variant>
        <vt:i4>0</vt:i4>
      </vt:variant>
      <vt:variant>
        <vt:i4>5</vt:i4>
      </vt:variant>
      <vt:variant>
        <vt:lpwstr>http://www.nzqa.govt.nz/framework/search/index.do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2400 Describe the principles of static and dynamic balancing, and carry out static balancing</dc:title>
  <dc:subject>Mechanical Engineering</dc:subject>
  <dc:creator>NZ Qualifications Authority</dc:creator>
  <cp:keywords/>
  <dc:description/>
  <cp:lastModifiedBy>Bill Sinclair</cp:lastModifiedBy>
  <cp:revision>2</cp:revision>
  <cp:lastPrinted>2010-06-16T03:03:00Z</cp:lastPrinted>
  <dcterms:created xsi:type="dcterms:W3CDTF">2019-02-26T01:56:00Z</dcterms:created>
  <dcterms:modified xsi:type="dcterms:W3CDTF">2019-02-26T01:56:00Z</dcterms:modified>
  <cp:category>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UnitExp</vt:lpwstr>
  </property>
  <property fmtid="{D5CDD505-2E9C-101B-9397-08002B2CF9AE}" pid="3" name="_TemplateVersion">
    <vt:i4>2</vt:i4>
  </property>
  <property fmtid="{D5CDD505-2E9C-101B-9397-08002B2CF9AE}" pid="4" name="_TemplateLanguage">
    <vt:lpwstr>English</vt:lpwstr>
  </property>
</Properties>
</file>