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359F" w14:textId="77777777" w:rsidR="00471E5C" w:rsidRPr="003550AF" w:rsidRDefault="00471E5C" w:rsidP="00471E5C">
      <w:pPr>
        <w:rPr>
          <w:b/>
          <w:bCs/>
          <w:color w:val="156082" w:themeColor="accent1"/>
        </w:rPr>
      </w:pPr>
      <w:r>
        <w:rPr>
          <w:b/>
          <w:bCs/>
          <w:color w:val="156082" w:themeColor="accent1"/>
        </w:rPr>
        <w:t xml:space="preserve">[These guidelines are created as an adaptable template. It is highly recommended that they are adapted to your school setting and reviewed to ensure they address each school’s specific needs. You may like to include your </w:t>
      </w:r>
      <w:proofErr w:type="gramStart"/>
      <w:r>
        <w:rPr>
          <w:b/>
          <w:bCs/>
          <w:color w:val="156082" w:themeColor="accent1"/>
        </w:rPr>
        <w:t>school</w:t>
      </w:r>
      <w:proofErr w:type="gramEnd"/>
      <w:r>
        <w:rPr>
          <w:b/>
          <w:bCs/>
          <w:color w:val="156082" w:themeColor="accent1"/>
        </w:rPr>
        <w:t xml:space="preserve"> name and logo, a review date, and any signatures/designated reviewer details]. </w:t>
      </w:r>
    </w:p>
    <w:p w14:paraId="60A707F5" w14:textId="77777777" w:rsidR="00471E5C" w:rsidRDefault="00471E5C" w:rsidP="009E23D7">
      <w:pPr>
        <w:rPr>
          <w:b/>
          <w:bCs/>
        </w:rPr>
      </w:pPr>
    </w:p>
    <w:p w14:paraId="6E275A65" w14:textId="77777777" w:rsidR="005C585C" w:rsidRDefault="005C585C" w:rsidP="005C585C">
      <w:pPr>
        <w:rPr>
          <w:b/>
          <w:bCs/>
        </w:rPr>
      </w:pPr>
      <w:r w:rsidRPr="005C585C">
        <w:rPr>
          <w:b/>
          <w:bCs/>
        </w:rPr>
        <w:t>Controlled Drug Policy – School Based Health Service</w:t>
      </w:r>
    </w:p>
    <w:p w14:paraId="403965A5" w14:textId="7ABC768D" w:rsidR="005359B1" w:rsidRPr="005359B1" w:rsidRDefault="005359B1" w:rsidP="005C585C">
      <w:pPr>
        <w:rPr>
          <w:b/>
          <w:bCs/>
          <w:color w:val="156082" w:themeColor="accent1"/>
        </w:rPr>
      </w:pPr>
      <w:r w:rsidRPr="005359B1">
        <w:rPr>
          <w:b/>
          <w:bCs/>
          <w:color w:val="156082" w:themeColor="accent1"/>
        </w:rPr>
        <w:t>[</w:t>
      </w:r>
      <w:proofErr w:type="gramStart"/>
      <w:r w:rsidRPr="005359B1">
        <w:rPr>
          <w:b/>
          <w:bCs/>
          <w:color w:val="156082" w:themeColor="accent1"/>
        </w:rPr>
        <w:t>Note;</w:t>
      </w:r>
      <w:proofErr w:type="gramEnd"/>
      <w:r w:rsidRPr="005359B1">
        <w:rPr>
          <w:b/>
          <w:bCs/>
          <w:color w:val="156082" w:themeColor="accent1"/>
        </w:rPr>
        <w:t xml:space="preserve"> This must remain a policy, rather than a guideline; </w:t>
      </w:r>
      <w:r>
        <w:rPr>
          <w:b/>
          <w:bCs/>
          <w:color w:val="156082" w:themeColor="accent1"/>
        </w:rPr>
        <w:t>Policies</w:t>
      </w:r>
      <w:r w:rsidRPr="005359B1">
        <w:rPr>
          <w:b/>
          <w:bCs/>
          <w:color w:val="156082" w:themeColor="accent1"/>
        </w:rPr>
        <w:t xml:space="preserve"> require sign-off by the Board (Formerly known as the Board of Trustees)</w:t>
      </w:r>
      <w:r>
        <w:rPr>
          <w:b/>
          <w:bCs/>
          <w:color w:val="156082" w:themeColor="accent1"/>
        </w:rPr>
        <w:t xml:space="preserve"> before it can </w:t>
      </w:r>
      <w:proofErr w:type="gramStart"/>
      <w:r>
        <w:rPr>
          <w:b/>
          <w:bCs/>
          <w:color w:val="156082" w:themeColor="accent1"/>
        </w:rPr>
        <w:t>enter into</w:t>
      </w:r>
      <w:proofErr w:type="gramEnd"/>
      <w:r>
        <w:rPr>
          <w:b/>
          <w:bCs/>
          <w:color w:val="156082" w:themeColor="accent1"/>
        </w:rPr>
        <w:t xml:space="preserve"> the clinic guidelines and policy documents</w:t>
      </w:r>
      <w:r w:rsidRPr="005359B1">
        <w:rPr>
          <w:b/>
          <w:bCs/>
          <w:color w:val="156082" w:themeColor="accent1"/>
        </w:rPr>
        <w:t xml:space="preserve">]. </w:t>
      </w:r>
    </w:p>
    <w:p w14:paraId="341934C2" w14:textId="77777777" w:rsidR="005359B1" w:rsidRPr="005C585C" w:rsidRDefault="005359B1" w:rsidP="005C585C">
      <w:pPr>
        <w:rPr>
          <w:b/>
          <w:bCs/>
        </w:rPr>
      </w:pPr>
    </w:p>
    <w:p w14:paraId="76C3C801" w14:textId="77777777" w:rsidR="005C585C" w:rsidRPr="005C585C" w:rsidRDefault="005C585C" w:rsidP="005C585C">
      <w:pPr>
        <w:rPr>
          <w:b/>
          <w:bCs/>
        </w:rPr>
      </w:pPr>
      <w:r w:rsidRPr="005C585C">
        <w:rPr>
          <w:b/>
          <w:bCs/>
        </w:rPr>
        <w:t>Rationale</w:t>
      </w:r>
    </w:p>
    <w:p w14:paraId="4FDCBD2E" w14:textId="77777777" w:rsidR="005C585C" w:rsidRPr="005C585C" w:rsidRDefault="005C585C" w:rsidP="005C585C">
      <w:pPr>
        <w:rPr>
          <w:b/>
          <w:bCs/>
        </w:rPr>
      </w:pPr>
      <w:r w:rsidRPr="005C585C">
        <w:rPr>
          <w:b/>
          <w:bCs/>
        </w:rPr>
        <w:t xml:space="preserve">School nurses are increasingly asked to manage medications for students with conditions such as chronic pain syndrome, epilepsy, and </w:t>
      </w:r>
      <w:proofErr w:type="gramStart"/>
      <w:r w:rsidRPr="005C585C">
        <w:rPr>
          <w:b/>
          <w:bCs/>
        </w:rPr>
        <w:t>Attention Deficit Disorder</w:t>
      </w:r>
      <w:proofErr w:type="gramEnd"/>
      <w:r w:rsidRPr="005C585C">
        <w:rPr>
          <w:b/>
          <w:bCs/>
        </w:rPr>
        <w:t>. Controlled drugs require strict handling due to their potential for misuse and legislative requirements.</w:t>
      </w:r>
    </w:p>
    <w:p w14:paraId="6252806D" w14:textId="77777777" w:rsidR="005C585C" w:rsidRPr="005C585C" w:rsidRDefault="00000000" w:rsidP="005C585C">
      <w:pPr>
        <w:rPr>
          <w:b/>
          <w:bCs/>
        </w:rPr>
      </w:pPr>
      <w:r>
        <w:rPr>
          <w:b/>
          <w:bCs/>
        </w:rPr>
        <w:pict w14:anchorId="46AB9DC4">
          <v:rect id="_x0000_i1025" style="width:0;height:1.5pt" o:hralign="center" o:hrstd="t" o:hr="t" fillcolor="#a0a0a0" stroked="f"/>
        </w:pict>
      </w:r>
    </w:p>
    <w:p w14:paraId="1215B2F6" w14:textId="77777777" w:rsidR="005C585C" w:rsidRPr="005C585C" w:rsidRDefault="005C585C" w:rsidP="005C585C">
      <w:pPr>
        <w:rPr>
          <w:b/>
          <w:bCs/>
        </w:rPr>
      </w:pPr>
      <w:r w:rsidRPr="005C585C">
        <w:rPr>
          <w:b/>
          <w:bCs/>
        </w:rPr>
        <w:t>Purpose</w:t>
      </w:r>
    </w:p>
    <w:p w14:paraId="657F4747" w14:textId="77777777" w:rsidR="005C585C" w:rsidRPr="005C585C" w:rsidRDefault="005C585C" w:rsidP="005C585C">
      <w:pPr>
        <w:rPr>
          <w:b/>
          <w:bCs/>
        </w:rPr>
      </w:pPr>
      <w:r w:rsidRPr="005C585C">
        <w:rPr>
          <w:b/>
          <w:bCs/>
        </w:rPr>
        <w:t>To ensure that controlled drugs are stored, administered, documented, and disposed of safely and in accordance with legislative requirements.</w:t>
      </w:r>
    </w:p>
    <w:p w14:paraId="5EDE6CAC" w14:textId="77777777" w:rsidR="005C585C" w:rsidRPr="005C585C" w:rsidRDefault="00000000" w:rsidP="005C585C">
      <w:pPr>
        <w:rPr>
          <w:b/>
          <w:bCs/>
        </w:rPr>
      </w:pPr>
      <w:r>
        <w:rPr>
          <w:b/>
          <w:bCs/>
        </w:rPr>
        <w:pict w14:anchorId="40D0403F">
          <v:rect id="_x0000_i1026" style="width:0;height:1.5pt" o:hralign="center" o:hrstd="t" o:hr="t" fillcolor="#a0a0a0" stroked="f"/>
        </w:pict>
      </w:r>
    </w:p>
    <w:p w14:paraId="15FBE252" w14:textId="77777777" w:rsidR="005C585C" w:rsidRPr="005C585C" w:rsidRDefault="005C585C" w:rsidP="005C585C">
      <w:pPr>
        <w:rPr>
          <w:b/>
          <w:bCs/>
        </w:rPr>
      </w:pPr>
      <w:r w:rsidRPr="005C585C">
        <w:rPr>
          <w:b/>
          <w:bCs/>
        </w:rPr>
        <w:t>Scope</w:t>
      </w:r>
    </w:p>
    <w:p w14:paraId="7B26237A" w14:textId="77777777" w:rsidR="005C585C" w:rsidRPr="005C585C" w:rsidRDefault="005C585C" w:rsidP="005C585C">
      <w:pPr>
        <w:numPr>
          <w:ilvl w:val="0"/>
          <w:numId w:val="8"/>
        </w:numPr>
        <w:rPr>
          <w:b/>
          <w:bCs/>
        </w:rPr>
      </w:pPr>
      <w:r w:rsidRPr="005C585C">
        <w:rPr>
          <w:b/>
          <w:bCs/>
        </w:rPr>
        <w:t>Applies to all Registered Nurses or Doctors working within the School Based Health Service.</w:t>
      </w:r>
    </w:p>
    <w:p w14:paraId="012BE84D" w14:textId="77777777" w:rsidR="005C585C" w:rsidRPr="005C585C" w:rsidRDefault="005C585C" w:rsidP="005C585C">
      <w:pPr>
        <w:numPr>
          <w:ilvl w:val="0"/>
          <w:numId w:val="8"/>
        </w:numPr>
        <w:rPr>
          <w:b/>
          <w:bCs/>
        </w:rPr>
      </w:pPr>
      <w:r w:rsidRPr="005C585C">
        <w:rPr>
          <w:b/>
          <w:bCs/>
        </w:rPr>
        <w:t>Covers all medications classified as controlled drugs, including Class B and C drugs commonly encountered in schools.</w:t>
      </w:r>
    </w:p>
    <w:p w14:paraId="0C7B7185" w14:textId="77777777" w:rsidR="005C585C" w:rsidRPr="005C585C" w:rsidRDefault="005C585C" w:rsidP="005C585C">
      <w:pPr>
        <w:numPr>
          <w:ilvl w:val="0"/>
          <w:numId w:val="8"/>
        </w:numPr>
        <w:rPr>
          <w:b/>
          <w:bCs/>
        </w:rPr>
      </w:pPr>
      <w:r w:rsidRPr="005C585C">
        <w:rPr>
          <w:b/>
          <w:bCs/>
        </w:rPr>
        <w:t>Class A drugs are unlikely to be handled by school nurses in their professional duties.</w:t>
      </w:r>
    </w:p>
    <w:p w14:paraId="76BEC0D9" w14:textId="77777777" w:rsidR="005C585C" w:rsidRPr="005C585C" w:rsidRDefault="00000000" w:rsidP="005C585C">
      <w:pPr>
        <w:rPr>
          <w:b/>
          <w:bCs/>
        </w:rPr>
      </w:pPr>
      <w:r>
        <w:rPr>
          <w:b/>
          <w:bCs/>
        </w:rPr>
        <w:pict w14:anchorId="103D74C6">
          <v:rect id="_x0000_i1027" style="width:0;height:1.5pt" o:hralign="center" o:hrstd="t" o:hr="t" fillcolor="#a0a0a0" stroked="f"/>
        </w:pict>
      </w:r>
    </w:p>
    <w:p w14:paraId="0EF93FC1" w14:textId="77777777" w:rsidR="005C585C" w:rsidRPr="005C585C" w:rsidRDefault="005C585C" w:rsidP="005C585C">
      <w:pPr>
        <w:rPr>
          <w:b/>
          <w:bCs/>
        </w:rPr>
      </w:pPr>
      <w:r w:rsidRPr="005C585C">
        <w:rPr>
          <w:b/>
          <w:bCs/>
        </w:rPr>
        <w:t>Examples of Controlled Drugs Likely in School Settings</w:t>
      </w:r>
    </w:p>
    <w:p w14:paraId="0B0F952D" w14:textId="77777777" w:rsidR="005C585C" w:rsidRPr="005C585C" w:rsidRDefault="005C585C" w:rsidP="005C585C">
      <w:pPr>
        <w:numPr>
          <w:ilvl w:val="0"/>
          <w:numId w:val="9"/>
        </w:numPr>
        <w:rPr>
          <w:b/>
          <w:bCs/>
        </w:rPr>
      </w:pPr>
      <w:r w:rsidRPr="005C585C">
        <w:rPr>
          <w:b/>
          <w:bCs/>
        </w:rPr>
        <w:t>Pain relief containing codeine (including dihydrocodeine)</w:t>
      </w:r>
    </w:p>
    <w:p w14:paraId="6FDA8C74" w14:textId="77777777" w:rsidR="005C585C" w:rsidRPr="005C585C" w:rsidRDefault="005C585C" w:rsidP="005C585C">
      <w:pPr>
        <w:numPr>
          <w:ilvl w:val="0"/>
          <w:numId w:val="9"/>
        </w:numPr>
        <w:rPr>
          <w:b/>
          <w:bCs/>
        </w:rPr>
      </w:pPr>
      <w:r w:rsidRPr="005C585C">
        <w:rPr>
          <w:b/>
          <w:bCs/>
        </w:rPr>
        <w:lastRenderedPageBreak/>
        <w:t>Pseudoephedrine-containing products</w:t>
      </w:r>
    </w:p>
    <w:p w14:paraId="2E4B2551" w14:textId="77777777" w:rsidR="005C585C" w:rsidRPr="005C585C" w:rsidRDefault="005C585C" w:rsidP="005C585C">
      <w:pPr>
        <w:numPr>
          <w:ilvl w:val="0"/>
          <w:numId w:val="9"/>
        </w:numPr>
        <w:rPr>
          <w:b/>
          <w:bCs/>
        </w:rPr>
      </w:pPr>
      <w:r w:rsidRPr="005C585C">
        <w:rPr>
          <w:b/>
          <w:bCs/>
        </w:rPr>
        <w:t>Benzodiazepines (e.g., Diazepam, Clonazepam, Clobazam – Class C)</w:t>
      </w:r>
    </w:p>
    <w:p w14:paraId="13E372EA" w14:textId="132C3DF6" w:rsidR="005C585C" w:rsidRPr="005C585C" w:rsidRDefault="005C585C" w:rsidP="005C585C">
      <w:pPr>
        <w:numPr>
          <w:ilvl w:val="0"/>
          <w:numId w:val="9"/>
        </w:numPr>
        <w:rPr>
          <w:b/>
          <w:bCs/>
        </w:rPr>
      </w:pPr>
      <w:r w:rsidRPr="005C585C">
        <w:rPr>
          <w:b/>
          <w:bCs/>
        </w:rPr>
        <w:t xml:space="preserve">Methylphenidate (Ritalin, </w:t>
      </w:r>
      <w:proofErr w:type="spellStart"/>
      <w:r w:rsidRPr="005C585C">
        <w:rPr>
          <w:b/>
          <w:bCs/>
        </w:rPr>
        <w:t>Rubifen</w:t>
      </w:r>
      <w:proofErr w:type="spellEnd"/>
      <w:r w:rsidRPr="005C585C">
        <w:rPr>
          <w:b/>
          <w:bCs/>
        </w:rPr>
        <w:t xml:space="preserve">, </w:t>
      </w:r>
      <w:proofErr w:type="spellStart"/>
      <w:r w:rsidRPr="005C585C">
        <w:rPr>
          <w:b/>
          <w:bCs/>
        </w:rPr>
        <w:t>Concerta</w:t>
      </w:r>
      <w:proofErr w:type="spellEnd"/>
      <w:r w:rsidRPr="005C585C">
        <w:rPr>
          <w:b/>
          <w:bCs/>
        </w:rPr>
        <w:t xml:space="preserve">) and </w:t>
      </w:r>
      <w:proofErr w:type="spellStart"/>
      <w:r w:rsidRPr="005C585C">
        <w:rPr>
          <w:b/>
          <w:bCs/>
        </w:rPr>
        <w:t>Lisdexamphetamine</w:t>
      </w:r>
      <w:proofErr w:type="spellEnd"/>
      <w:r w:rsidRPr="005C585C">
        <w:rPr>
          <w:b/>
          <w:bCs/>
        </w:rPr>
        <w:t xml:space="preserve"> (Vyvanse)</w:t>
      </w:r>
    </w:p>
    <w:p w14:paraId="17BC305C" w14:textId="77777777" w:rsidR="005C585C" w:rsidRPr="005C585C" w:rsidRDefault="005C585C" w:rsidP="005C585C">
      <w:pPr>
        <w:rPr>
          <w:b/>
          <w:bCs/>
        </w:rPr>
      </w:pPr>
      <w:r w:rsidRPr="005C585C">
        <w:rPr>
          <w:b/>
          <w:bCs/>
        </w:rPr>
        <w:t xml:space="preserve">For a full list of controlled drugs and their classifications, see: </w:t>
      </w:r>
      <w:hyperlink r:id="rId7" w:tgtFrame="_new" w:history="1">
        <w:r w:rsidRPr="005C585C">
          <w:rPr>
            <w:rStyle w:val="Hyperlink"/>
            <w:b/>
            <w:bCs/>
          </w:rPr>
          <w:t>NZ Legislation – Misuse of Drugs Act 1975</w:t>
        </w:r>
      </w:hyperlink>
    </w:p>
    <w:p w14:paraId="2997F97D" w14:textId="77777777" w:rsidR="005C585C" w:rsidRPr="005C585C" w:rsidRDefault="00000000" w:rsidP="005C585C">
      <w:pPr>
        <w:rPr>
          <w:b/>
          <w:bCs/>
        </w:rPr>
      </w:pPr>
      <w:r>
        <w:rPr>
          <w:b/>
          <w:bCs/>
        </w:rPr>
        <w:pict w14:anchorId="20B59923">
          <v:rect id="_x0000_i1028" style="width:0;height:1.5pt" o:hralign="center" o:hrstd="t" o:hr="t" fillcolor="#a0a0a0" stroked="f"/>
        </w:pict>
      </w:r>
    </w:p>
    <w:p w14:paraId="464AEF80" w14:textId="77777777" w:rsidR="005C585C" w:rsidRPr="005C585C" w:rsidRDefault="005C585C" w:rsidP="005C585C">
      <w:pPr>
        <w:rPr>
          <w:b/>
          <w:bCs/>
        </w:rPr>
      </w:pPr>
      <w:r w:rsidRPr="005C585C">
        <w:rPr>
          <w:b/>
          <w:bCs/>
        </w:rPr>
        <w:t>Storage Requirements</w:t>
      </w:r>
    </w:p>
    <w:p w14:paraId="43D2D917" w14:textId="77777777" w:rsidR="005C585C" w:rsidRPr="005C585C" w:rsidRDefault="005C585C" w:rsidP="005C585C">
      <w:pPr>
        <w:numPr>
          <w:ilvl w:val="0"/>
          <w:numId w:val="10"/>
        </w:numPr>
        <w:rPr>
          <w:b/>
          <w:bCs/>
        </w:rPr>
      </w:pPr>
      <w:r w:rsidRPr="005C585C">
        <w:rPr>
          <w:b/>
          <w:bCs/>
        </w:rPr>
        <w:t>Controlled drugs must be stored in a locked metal cupboard securely attached to the building.</w:t>
      </w:r>
    </w:p>
    <w:p w14:paraId="0ADF2E29" w14:textId="77777777" w:rsidR="005C585C" w:rsidRPr="005C585C" w:rsidRDefault="005C585C" w:rsidP="005C585C">
      <w:pPr>
        <w:numPr>
          <w:ilvl w:val="0"/>
          <w:numId w:val="10"/>
        </w:numPr>
        <w:rPr>
          <w:b/>
          <w:bCs/>
        </w:rPr>
      </w:pPr>
      <w:r w:rsidRPr="005C585C">
        <w:rPr>
          <w:b/>
          <w:bCs/>
        </w:rPr>
        <w:t>Keys must be kept securely by the Registered Nurse.</w:t>
      </w:r>
    </w:p>
    <w:p w14:paraId="2EFA9677" w14:textId="77777777" w:rsidR="005C585C" w:rsidRPr="005C585C" w:rsidRDefault="005C585C" w:rsidP="005C585C">
      <w:pPr>
        <w:numPr>
          <w:ilvl w:val="0"/>
          <w:numId w:val="10"/>
        </w:numPr>
        <w:rPr>
          <w:b/>
          <w:bCs/>
        </w:rPr>
      </w:pPr>
      <w:r w:rsidRPr="005C585C">
        <w:rPr>
          <w:b/>
          <w:bCs/>
        </w:rPr>
        <w:t>Emergency access should be defined in school procedures without compromising security.</w:t>
      </w:r>
    </w:p>
    <w:p w14:paraId="5E6B1637" w14:textId="77777777" w:rsidR="005C585C" w:rsidRPr="005C585C" w:rsidRDefault="00000000" w:rsidP="005C585C">
      <w:pPr>
        <w:rPr>
          <w:b/>
          <w:bCs/>
        </w:rPr>
      </w:pPr>
      <w:r>
        <w:rPr>
          <w:b/>
          <w:bCs/>
        </w:rPr>
        <w:pict w14:anchorId="71C098F2">
          <v:rect id="_x0000_i1029" style="width:0;height:1.5pt" o:hralign="center" o:hrstd="t" o:hr="t" fillcolor="#a0a0a0" stroked="f"/>
        </w:pict>
      </w:r>
    </w:p>
    <w:p w14:paraId="4D4024A8" w14:textId="77777777" w:rsidR="005C585C" w:rsidRPr="005C585C" w:rsidRDefault="005C585C" w:rsidP="005C585C">
      <w:pPr>
        <w:rPr>
          <w:b/>
          <w:bCs/>
        </w:rPr>
      </w:pPr>
      <w:r w:rsidRPr="005C585C">
        <w:rPr>
          <w:b/>
          <w:bCs/>
        </w:rPr>
        <w:t>Medication Supply</w:t>
      </w:r>
    </w:p>
    <w:p w14:paraId="30CB115B" w14:textId="77777777" w:rsidR="005C585C" w:rsidRPr="005C585C" w:rsidRDefault="005C585C" w:rsidP="005C585C">
      <w:pPr>
        <w:numPr>
          <w:ilvl w:val="0"/>
          <w:numId w:val="11"/>
        </w:numPr>
        <w:rPr>
          <w:b/>
          <w:bCs/>
        </w:rPr>
      </w:pPr>
      <w:r w:rsidRPr="005C585C">
        <w:rPr>
          <w:b/>
          <w:bCs/>
        </w:rPr>
        <w:t xml:space="preserve">Families must provide medication in the original container, clearly </w:t>
      </w:r>
      <w:proofErr w:type="spellStart"/>
      <w:r w:rsidRPr="005C585C">
        <w:rPr>
          <w:b/>
          <w:bCs/>
        </w:rPr>
        <w:t>labeled</w:t>
      </w:r>
      <w:proofErr w:type="spellEnd"/>
      <w:r w:rsidRPr="005C585C">
        <w:rPr>
          <w:b/>
          <w:bCs/>
        </w:rPr>
        <w:t xml:space="preserve"> with the student’s name.</w:t>
      </w:r>
    </w:p>
    <w:p w14:paraId="79659F1B" w14:textId="77777777" w:rsidR="005C585C" w:rsidRPr="005C585C" w:rsidRDefault="005C585C" w:rsidP="005C585C">
      <w:pPr>
        <w:numPr>
          <w:ilvl w:val="0"/>
          <w:numId w:val="11"/>
        </w:numPr>
        <w:rPr>
          <w:b/>
          <w:bCs/>
        </w:rPr>
      </w:pPr>
      <w:r w:rsidRPr="005C585C">
        <w:rPr>
          <w:b/>
          <w:bCs/>
        </w:rPr>
        <w:t>School staff may only administer controlled drugs after parental consent and school procedure compliance.</w:t>
      </w:r>
    </w:p>
    <w:p w14:paraId="4A95C0D9" w14:textId="77777777" w:rsidR="005C585C" w:rsidRPr="005C585C" w:rsidRDefault="00000000" w:rsidP="005C585C">
      <w:pPr>
        <w:rPr>
          <w:b/>
          <w:bCs/>
        </w:rPr>
      </w:pPr>
      <w:r>
        <w:rPr>
          <w:b/>
          <w:bCs/>
        </w:rPr>
        <w:pict w14:anchorId="04B875D4">
          <v:rect id="_x0000_i1030" style="width:0;height:1.5pt" o:hralign="center" o:hrstd="t" o:hr="t" fillcolor="#a0a0a0" stroked="f"/>
        </w:pict>
      </w:r>
    </w:p>
    <w:p w14:paraId="6E14305A" w14:textId="77777777" w:rsidR="005C585C" w:rsidRPr="005C585C" w:rsidRDefault="005C585C" w:rsidP="005C585C">
      <w:pPr>
        <w:rPr>
          <w:b/>
          <w:bCs/>
        </w:rPr>
      </w:pPr>
      <w:r w:rsidRPr="005C585C">
        <w:rPr>
          <w:b/>
          <w:bCs/>
        </w:rPr>
        <w:t>Controlled Drug Register</w:t>
      </w:r>
    </w:p>
    <w:p w14:paraId="178FDFA3" w14:textId="77777777" w:rsidR="005C585C" w:rsidRPr="005C585C" w:rsidRDefault="005C585C" w:rsidP="005C585C">
      <w:pPr>
        <w:numPr>
          <w:ilvl w:val="0"/>
          <w:numId w:val="12"/>
        </w:numPr>
        <w:rPr>
          <w:b/>
          <w:bCs/>
        </w:rPr>
      </w:pPr>
      <w:r w:rsidRPr="005C585C">
        <w:rPr>
          <w:b/>
          <w:bCs/>
        </w:rPr>
        <w:t xml:space="preserve">Maintain a bound, </w:t>
      </w:r>
      <w:proofErr w:type="gramStart"/>
      <w:r w:rsidRPr="005C585C">
        <w:rPr>
          <w:b/>
          <w:bCs/>
        </w:rPr>
        <w:t>indelible-ink</w:t>
      </w:r>
      <w:proofErr w:type="gramEnd"/>
      <w:r w:rsidRPr="005C585C">
        <w:rPr>
          <w:b/>
          <w:bCs/>
        </w:rPr>
        <w:t xml:space="preserve"> register documenting:</w:t>
      </w:r>
    </w:p>
    <w:p w14:paraId="05833C45" w14:textId="77777777" w:rsidR="005C585C" w:rsidRPr="005C585C" w:rsidRDefault="005C585C" w:rsidP="005C585C">
      <w:pPr>
        <w:numPr>
          <w:ilvl w:val="1"/>
          <w:numId w:val="12"/>
        </w:numPr>
        <w:rPr>
          <w:b/>
          <w:bCs/>
        </w:rPr>
      </w:pPr>
      <w:r w:rsidRPr="005C585C">
        <w:rPr>
          <w:b/>
          <w:bCs/>
        </w:rPr>
        <w:t>Medication received</w:t>
      </w:r>
    </w:p>
    <w:p w14:paraId="16ABE48E" w14:textId="77777777" w:rsidR="005C585C" w:rsidRPr="005C585C" w:rsidRDefault="005C585C" w:rsidP="005C585C">
      <w:pPr>
        <w:numPr>
          <w:ilvl w:val="1"/>
          <w:numId w:val="12"/>
        </w:numPr>
        <w:rPr>
          <w:b/>
          <w:bCs/>
        </w:rPr>
      </w:pPr>
      <w:r w:rsidRPr="005C585C">
        <w:rPr>
          <w:b/>
          <w:bCs/>
        </w:rPr>
        <w:t>Medication administered</w:t>
      </w:r>
    </w:p>
    <w:p w14:paraId="5B6BEBFC" w14:textId="77777777" w:rsidR="005C585C" w:rsidRPr="005C585C" w:rsidRDefault="005C585C" w:rsidP="005C585C">
      <w:pPr>
        <w:numPr>
          <w:ilvl w:val="1"/>
          <w:numId w:val="12"/>
        </w:numPr>
        <w:rPr>
          <w:b/>
          <w:bCs/>
        </w:rPr>
      </w:pPr>
      <w:r w:rsidRPr="005C585C">
        <w:rPr>
          <w:b/>
          <w:bCs/>
        </w:rPr>
        <w:t>Medication discarded or returned to family</w:t>
      </w:r>
    </w:p>
    <w:p w14:paraId="5648F890" w14:textId="77777777" w:rsidR="005C585C" w:rsidRPr="005C585C" w:rsidRDefault="005C585C" w:rsidP="005C585C">
      <w:pPr>
        <w:numPr>
          <w:ilvl w:val="0"/>
          <w:numId w:val="12"/>
        </w:numPr>
        <w:rPr>
          <w:b/>
          <w:bCs/>
        </w:rPr>
      </w:pPr>
      <w:r w:rsidRPr="005C585C">
        <w:rPr>
          <w:b/>
          <w:bCs/>
        </w:rPr>
        <w:t>A weekly stocktake must be conducted by the Registered Nurse(s).</w:t>
      </w:r>
    </w:p>
    <w:p w14:paraId="48749A3B" w14:textId="77777777" w:rsidR="005C585C" w:rsidRPr="005C585C" w:rsidRDefault="005C585C" w:rsidP="005C585C">
      <w:pPr>
        <w:numPr>
          <w:ilvl w:val="0"/>
          <w:numId w:val="12"/>
        </w:numPr>
        <w:rPr>
          <w:b/>
          <w:bCs/>
        </w:rPr>
      </w:pPr>
      <w:r w:rsidRPr="005C585C">
        <w:rPr>
          <w:b/>
          <w:bCs/>
        </w:rPr>
        <w:t>Administration should ideally be signed by two Registered Nurses, or one Registered Nurse plus a responsible adult if two nurses are not available.</w:t>
      </w:r>
    </w:p>
    <w:p w14:paraId="3C4DB52E" w14:textId="77777777" w:rsidR="005C585C" w:rsidRPr="005C585C" w:rsidRDefault="00000000" w:rsidP="005C585C">
      <w:pPr>
        <w:rPr>
          <w:b/>
          <w:bCs/>
        </w:rPr>
      </w:pPr>
      <w:r>
        <w:rPr>
          <w:b/>
          <w:bCs/>
        </w:rPr>
        <w:lastRenderedPageBreak/>
        <w:pict w14:anchorId="338CE782">
          <v:rect id="_x0000_i1031" style="width:0;height:1.5pt" o:hralign="center" o:hrstd="t" o:hr="t" fillcolor="#a0a0a0" stroked="f"/>
        </w:pict>
      </w:r>
    </w:p>
    <w:p w14:paraId="0C2C8732" w14:textId="77777777" w:rsidR="005C585C" w:rsidRPr="005C585C" w:rsidRDefault="005C585C" w:rsidP="005C585C">
      <w:pPr>
        <w:rPr>
          <w:b/>
          <w:bCs/>
        </w:rPr>
      </w:pPr>
      <w:r w:rsidRPr="005C585C">
        <w:rPr>
          <w:b/>
          <w:bCs/>
        </w:rPr>
        <w:t>Administration</w:t>
      </w:r>
    </w:p>
    <w:p w14:paraId="234B48B5" w14:textId="77777777" w:rsidR="005C585C" w:rsidRPr="005C585C" w:rsidRDefault="005C585C" w:rsidP="005C585C">
      <w:pPr>
        <w:numPr>
          <w:ilvl w:val="0"/>
          <w:numId w:val="13"/>
        </w:numPr>
        <w:rPr>
          <w:b/>
          <w:bCs/>
        </w:rPr>
      </w:pPr>
      <w:r w:rsidRPr="005C585C">
        <w:rPr>
          <w:b/>
          <w:bCs/>
        </w:rPr>
        <w:t>Record all controlled drug administration in the student’s clinical notes.</w:t>
      </w:r>
    </w:p>
    <w:p w14:paraId="1A30FC6E" w14:textId="77777777" w:rsidR="005C585C" w:rsidRPr="005C585C" w:rsidRDefault="005C585C" w:rsidP="005C585C">
      <w:pPr>
        <w:numPr>
          <w:ilvl w:val="0"/>
          <w:numId w:val="13"/>
        </w:numPr>
        <w:rPr>
          <w:b/>
          <w:bCs/>
        </w:rPr>
      </w:pPr>
      <w:r w:rsidRPr="005C585C">
        <w:rPr>
          <w:b/>
          <w:bCs/>
        </w:rPr>
        <w:t>Observe the student for effectiveness and adverse reactions.</w:t>
      </w:r>
    </w:p>
    <w:p w14:paraId="6450D609" w14:textId="77777777" w:rsidR="005C585C" w:rsidRPr="005C585C" w:rsidRDefault="00000000" w:rsidP="005C585C">
      <w:pPr>
        <w:rPr>
          <w:b/>
          <w:bCs/>
        </w:rPr>
      </w:pPr>
      <w:r>
        <w:rPr>
          <w:b/>
          <w:bCs/>
        </w:rPr>
        <w:pict w14:anchorId="3F9A477C">
          <v:rect id="_x0000_i1032" style="width:0;height:1.5pt" o:hralign="center" o:hrstd="t" o:hr="t" fillcolor="#a0a0a0" stroked="f"/>
        </w:pict>
      </w:r>
    </w:p>
    <w:p w14:paraId="0C2FFB74" w14:textId="77777777" w:rsidR="005C585C" w:rsidRPr="005C585C" w:rsidRDefault="005C585C" w:rsidP="005C585C">
      <w:pPr>
        <w:rPr>
          <w:b/>
          <w:bCs/>
        </w:rPr>
      </w:pPr>
      <w:r w:rsidRPr="005C585C">
        <w:rPr>
          <w:b/>
          <w:bCs/>
        </w:rPr>
        <w:t>Discrepancies</w:t>
      </w:r>
    </w:p>
    <w:p w14:paraId="27CE3F00" w14:textId="77777777" w:rsidR="005C585C" w:rsidRPr="005C585C" w:rsidRDefault="005C585C" w:rsidP="005C585C">
      <w:pPr>
        <w:numPr>
          <w:ilvl w:val="0"/>
          <w:numId w:val="14"/>
        </w:numPr>
        <w:rPr>
          <w:b/>
          <w:bCs/>
        </w:rPr>
      </w:pPr>
      <w:r w:rsidRPr="005C585C">
        <w:rPr>
          <w:b/>
          <w:bCs/>
        </w:rPr>
        <w:t>Any discrepancies in the controlled drug register must be reported immediately to senior management.</w:t>
      </w:r>
    </w:p>
    <w:p w14:paraId="2E539CC5" w14:textId="77777777" w:rsidR="005C585C" w:rsidRPr="005C585C" w:rsidRDefault="005C585C" w:rsidP="005C585C">
      <w:pPr>
        <w:numPr>
          <w:ilvl w:val="0"/>
          <w:numId w:val="14"/>
        </w:numPr>
        <w:rPr>
          <w:b/>
          <w:bCs/>
        </w:rPr>
      </w:pPr>
      <w:r w:rsidRPr="005C585C">
        <w:rPr>
          <w:b/>
          <w:bCs/>
        </w:rPr>
        <w:t>If the discrepancy cannot be resolved, Police must be notified.</w:t>
      </w:r>
    </w:p>
    <w:p w14:paraId="58B20D21" w14:textId="77777777" w:rsidR="005C585C" w:rsidRPr="005C585C" w:rsidRDefault="00000000" w:rsidP="005C585C">
      <w:pPr>
        <w:rPr>
          <w:b/>
          <w:bCs/>
        </w:rPr>
      </w:pPr>
      <w:r>
        <w:rPr>
          <w:b/>
          <w:bCs/>
        </w:rPr>
        <w:pict w14:anchorId="1CB5310C">
          <v:rect id="_x0000_i1033" style="width:0;height:1.5pt" o:hralign="center" o:hrstd="t" o:hr="t" fillcolor="#a0a0a0" stroked="f"/>
        </w:pict>
      </w:r>
    </w:p>
    <w:p w14:paraId="41AE837B" w14:textId="77777777" w:rsidR="005C585C" w:rsidRPr="005C585C" w:rsidRDefault="005C585C" w:rsidP="005C585C">
      <w:pPr>
        <w:rPr>
          <w:b/>
          <w:bCs/>
        </w:rPr>
      </w:pPr>
      <w:r w:rsidRPr="005C585C">
        <w:rPr>
          <w:b/>
          <w:bCs/>
        </w:rPr>
        <w:t>Resources</w:t>
      </w:r>
    </w:p>
    <w:p w14:paraId="5EF6CD04" w14:textId="77777777" w:rsidR="005C585C" w:rsidRPr="005C585C" w:rsidRDefault="005C585C" w:rsidP="005C585C">
      <w:pPr>
        <w:numPr>
          <w:ilvl w:val="0"/>
          <w:numId w:val="15"/>
        </w:numPr>
        <w:rPr>
          <w:b/>
          <w:bCs/>
        </w:rPr>
      </w:pPr>
      <w:r w:rsidRPr="005C585C">
        <w:rPr>
          <w:b/>
          <w:bCs/>
        </w:rPr>
        <w:t xml:space="preserve">New Zealand Nurses Organisation. (2012). </w:t>
      </w:r>
      <w:r w:rsidRPr="005C585C">
        <w:rPr>
          <w:b/>
          <w:bCs/>
          <w:i/>
          <w:iCs/>
        </w:rPr>
        <w:t>Guidelines for nurses on the administration of medicines.</w:t>
      </w:r>
      <w:r w:rsidRPr="005C585C">
        <w:rPr>
          <w:b/>
          <w:bCs/>
        </w:rPr>
        <w:t xml:space="preserve"> Wellington: NZNO.</w:t>
      </w:r>
    </w:p>
    <w:p w14:paraId="3D23E94C" w14:textId="77777777" w:rsidR="005C585C" w:rsidRPr="005C585C" w:rsidRDefault="005C585C" w:rsidP="005C585C">
      <w:pPr>
        <w:numPr>
          <w:ilvl w:val="0"/>
          <w:numId w:val="15"/>
        </w:numPr>
        <w:rPr>
          <w:b/>
          <w:bCs/>
        </w:rPr>
      </w:pPr>
      <w:r w:rsidRPr="005C585C">
        <w:rPr>
          <w:b/>
          <w:bCs/>
        </w:rPr>
        <w:t xml:space="preserve">New Zealand legislation on controlled drugs: </w:t>
      </w:r>
      <w:hyperlink r:id="rId8" w:tgtFrame="_new" w:history="1">
        <w:r w:rsidRPr="005C585C">
          <w:rPr>
            <w:rStyle w:val="Hyperlink"/>
            <w:b/>
            <w:bCs/>
          </w:rPr>
          <w:t>Misuse of Drugs Act 1975</w:t>
        </w:r>
      </w:hyperlink>
    </w:p>
    <w:p w14:paraId="314309A8" w14:textId="77777777" w:rsidR="009E23D7" w:rsidRDefault="009E23D7" w:rsidP="005C585C"/>
    <w:sectPr w:rsidR="009E23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8AEB" w14:textId="77777777" w:rsidR="00C96E90" w:rsidRDefault="00C96E90" w:rsidP="009E23D7">
      <w:pPr>
        <w:spacing w:after="0" w:line="240" w:lineRule="auto"/>
      </w:pPr>
      <w:r>
        <w:separator/>
      </w:r>
    </w:p>
  </w:endnote>
  <w:endnote w:type="continuationSeparator" w:id="0">
    <w:p w14:paraId="4691E032" w14:textId="77777777" w:rsidR="00C96E90" w:rsidRDefault="00C96E90" w:rsidP="009E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22DF" w14:textId="77777777" w:rsidR="00DD684D" w:rsidRDefault="00DD6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8E4A" w14:textId="77777777" w:rsidR="0084498F" w:rsidRDefault="0084498F" w:rsidP="0084498F">
    <w:pPr>
      <w:pStyle w:val="Footer"/>
      <w:jc w:val="center"/>
    </w:pPr>
    <w:r>
      <w:t xml:space="preserve">See </w:t>
    </w:r>
    <w:hyperlink r:id="rId1" w:history="1">
      <w:r w:rsidRPr="004A7314">
        <w:rPr>
          <w:rStyle w:val="Hyperlink"/>
        </w:rPr>
        <w:t>www.schoolnurses.org.nz</w:t>
      </w:r>
    </w:hyperlink>
    <w:r>
      <w:t xml:space="preserve"> for other guidelines and disclaimer of use.</w:t>
    </w:r>
  </w:p>
  <w:p w14:paraId="0EED7AF6" w14:textId="77777777" w:rsidR="0084498F" w:rsidRDefault="0084498F" w:rsidP="0084498F">
    <w:pPr>
      <w:pStyle w:val="Footer"/>
    </w:pPr>
    <w:r>
      <w:tab/>
    </w:r>
  </w:p>
  <w:p w14:paraId="3AC3799B" w14:textId="457A0AFE" w:rsidR="009E23D7" w:rsidRDefault="0084498F" w:rsidP="0084498F">
    <w:pPr>
      <w:pStyle w:val="Footer"/>
      <w:jc w:val="center"/>
    </w:pPr>
    <w:r>
      <w:t>V</w:t>
    </w:r>
    <w:r w:rsidR="00DD684D">
      <w:t>2</w:t>
    </w:r>
    <w:r>
      <w:t xml:space="preserve"> </w:t>
    </w:r>
    <w:r w:rsidR="00DD684D">
      <w:t>Oct</w:t>
    </w:r>
    <w:r>
      <w:t xml:space="preserve"> 2025 – </w:t>
    </w:r>
    <w:r w:rsidR="00DD684D">
      <w:t>Controlled Drug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9AFD" w14:textId="77777777" w:rsidR="00DD684D" w:rsidRDefault="00DD6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84AA" w14:textId="77777777" w:rsidR="00C96E90" w:rsidRDefault="00C96E90" w:rsidP="009E23D7">
      <w:pPr>
        <w:spacing w:after="0" w:line="240" w:lineRule="auto"/>
      </w:pPr>
      <w:r>
        <w:separator/>
      </w:r>
    </w:p>
  </w:footnote>
  <w:footnote w:type="continuationSeparator" w:id="0">
    <w:p w14:paraId="6DB6F50B" w14:textId="77777777" w:rsidR="00C96E90" w:rsidRDefault="00C96E90" w:rsidP="009E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854B" w14:textId="77777777" w:rsidR="00DD684D" w:rsidRDefault="00DD6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5181" w14:textId="08255BAB" w:rsidR="00471E5C" w:rsidRDefault="00471E5C" w:rsidP="00471E5C">
    <w:pPr>
      <w:pStyle w:val="Header"/>
      <w:jc w:val="right"/>
    </w:pPr>
    <w:r>
      <w:rPr>
        <w:noProof/>
      </w:rPr>
      <w:drawing>
        <wp:inline distT="0" distB="0" distL="0" distR="0" wp14:anchorId="4F4F2106" wp14:editId="29B2CEB4">
          <wp:extent cx="2168525" cy="704393"/>
          <wp:effectExtent l="0" t="0" r="0" b="0"/>
          <wp:docPr id="1611974980" name="Picture 1" descr="A black background with white lett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4980" name="Picture 1" descr="A black background with white letters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0364" cy="711487"/>
                  </a:xfrm>
                  <a:prstGeom prst="rect">
                    <a:avLst/>
                  </a:prstGeom>
                </pic:spPr>
              </pic:pic>
            </a:graphicData>
          </a:graphic>
        </wp:inline>
      </w:drawing>
    </w:r>
  </w:p>
  <w:sdt>
    <w:sdtPr>
      <w:id w:val="-1232764792"/>
      <w:docPartObj>
        <w:docPartGallery w:val="Watermarks"/>
        <w:docPartUnique/>
      </w:docPartObj>
    </w:sdtPr>
    <w:sdtContent>
      <w:p w14:paraId="3E07FB93" w14:textId="27008D8E" w:rsidR="009E23D7" w:rsidRDefault="00000000">
        <w:pPr>
          <w:pStyle w:val="Header"/>
        </w:pPr>
        <w:r>
          <w:rPr>
            <w:noProof/>
          </w:rPr>
          <w:pict w14:anchorId="32327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BAB9" w14:textId="77777777" w:rsidR="00DD684D" w:rsidRDefault="00DD6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217"/>
    <w:multiLevelType w:val="multilevel"/>
    <w:tmpl w:val="B09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A5BBC"/>
    <w:multiLevelType w:val="multilevel"/>
    <w:tmpl w:val="0B6E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B2A56"/>
    <w:multiLevelType w:val="multilevel"/>
    <w:tmpl w:val="A9BC1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D3AEE"/>
    <w:multiLevelType w:val="multilevel"/>
    <w:tmpl w:val="0478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D7B7D"/>
    <w:multiLevelType w:val="multilevel"/>
    <w:tmpl w:val="7C4C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D6B83"/>
    <w:multiLevelType w:val="multilevel"/>
    <w:tmpl w:val="B3A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93FFE"/>
    <w:multiLevelType w:val="multilevel"/>
    <w:tmpl w:val="570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21F33"/>
    <w:multiLevelType w:val="multilevel"/>
    <w:tmpl w:val="2376D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D501A"/>
    <w:multiLevelType w:val="multilevel"/>
    <w:tmpl w:val="622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F4174"/>
    <w:multiLevelType w:val="multilevel"/>
    <w:tmpl w:val="79FE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D491F"/>
    <w:multiLevelType w:val="multilevel"/>
    <w:tmpl w:val="C5C0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D27BB"/>
    <w:multiLevelType w:val="multilevel"/>
    <w:tmpl w:val="E2A0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9D5FE7"/>
    <w:multiLevelType w:val="multilevel"/>
    <w:tmpl w:val="DADE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6EBE"/>
    <w:multiLevelType w:val="multilevel"/>
    <w:tmpl w:val="8EF8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66918"/>
    <w:multiLevelType w:val="multilevel"/>
    <w:tmpl w:val="270A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2164">
    <w:abstractNumId w:val="14"/>
  </w:num>
  <w:num w:numId="2" w16cid:durableId="1895389556">
    <w:abstractNumId w:val="10"/>
  </w:num>
  <w:num w:numId="3" w16cid:durableId="1328248337">
    <w:abstractNumId w:val="2"/>
  </w:num>
  <w:num w:numId="4" w16cid:durableId="1310552584">
    <w:abstractNumId w:val="8"/>
  </w:num>
  <w:num w:numId="5" w16cid:durableId="855005076">
    <w:abstractNumId w:val="13"/>
  </w:num>
  <w:num w:numId="6" w16cid:durableId="1652295006">
    <w:abstractNumId w:val="6"/>
  </w:num>
  <w:num w:numId="7" w16cid:durableId="694384948">
    <w:abstractNumId w:val="5"/>
  </w:num>
  <w:num w:numId="8" w16cid:durableId="745345551">
    <w:abstractNumId w:val="4"/>
  </w:num>
  <w:num w:numId="9" w16cid:durableId="169570550">
    <w:abstractNumId w:val="1"/>
  </w:num>
  <w:num w:numId="10" w16cid:durableId="912548793">
    <w:abstractNumId w:val="12"/>
  </w:num>
  <w:num w:numId="11" w16cid:durableId="969435233">
    <w:abstractNumId w:val="0"/>
  </w:num>
  <w:num w:numId="12" w16cid:durableId="114565544">
    <w:abstractNumId w:val="7"/>
  </w:num>
  <w:num w:numId="13" w16cid:durableId="186650030">
    <w:abstractNumId w:val="11"/>
  </w:num>
  <w:num w:numId="14" w16cid:durableId="632979329">
    <w:abstractNumId w:val="3"/>
  </w:num>
  <w:num w:numId="15" w16cid:durableId="12747026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D7"/>
    <w:rsid w:val="00030BC3"/>
    <w:rsid w:val="0004711C"/>
    <w:rsid w:val="0030531F"/>
    <w:rsid w:val="003E43A6"/>
    <w:rsid w:val="00471E5C"/>
    <w:rsid w:val="0050292D"/>
    <w:rsid w:val="005359B1"/>
    <w:rsid w:val="005C585C"/>
    <w:rsid w:val="005E3461"/>
    <w:rsid w:val="0084498F"/>
    <w:rsid w:val="009E23D7"/>
    <w:rsid w:val="00B702C0"/>
    <w:rsid w:val="00C96E90"/>
    <w:rsid w:val="00DD684D"/>
    <w:rsid w:val="00F82A99"/>
    <w:rsid w:val="00FE53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E54"/>
  <w15:chartTrackingRefBased/>
  <w15:docId w15:val="{8489BDD9-77BB-4F9B-B2DA-CD40D6D0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D7"/>
    <w:rPr>
      <w:rFonts w:eastAsiaTheme="majorEastAsia" w:cstheme="majorBidi"/>
      <w:color w:val="272727" w:themeColor="text1" w:themeTint="D8"/>
    </w:rPr>
  </w:style>
  <w:style w:type="paragraph" w:styleId="Title">
    <w:name w:val="Title"/>
    <w:basedOn w:val="Normal"/>
    <w:next w:val="Normal"/>
    <w:link w:val="TitleChar"/>
    <w:uiPriority w:val="10"/>
    <w:qFormat/>
    <w:rsid w:val="009E2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D7"/>
    <w:pPr>
      <w:spacing w:before="160"/>
      <w:jc w:val="center"/>
    </w:pPr>
    <w:rPr>
      <w:i/>
      <w:iCs/>
      <w:color w:val="404040" w:themeColor="text1" w:themeTint="BF"/>
    </w:rPr>
  </w:style>
  <w:style w:type="character" w:customStyle="1" w:styleId="QuoteChar">
    <w:name w:val="Quote Char"/>
    <w:basedOn w:val="DefaultParagraphFont"/>
    <w:link w:val="Quote"/>
    <w:uiPriority w:val="29"/>
    <w:rsid w:val="009E23D7"/>
    <w:rPr>
      <w:i/>
      <w:iCs/>
      <w:color w:val="404040" w:themeColor="text1" w:themeTint="BF"/>
    </w:rPr>
  </w:style>
  <w:style w:type="paragraph" w:styleId="ListParagraph">
    <w:name w:val="List Paragraph"/>
    <w:basedOn w:val="Normal"/>
    <w:uiPriority w:val="34"/>
    <w:qFormat/>
    <w:rsid w:val="009E23D7"/>
    <w:pPr>
      <w:ind w:left="720"/>
      <w:contextualSpacing/>
    </w:pPr>
  </w:style>
  <w:style w:type="character" w:styleId="IntenseEmphasis">
    <w:name w:val="Intense Emphasis"/>
    <w:basedOn w:val="DefaultParagraphFont"/>
    <w:uiPriority w:val="21"/>
    <w:qFormat/>
    <w:rsid w:val="009E23D7"/>
    <w:rPr>
      <w:i/>
      <w:iCs/>
      <w:color w:val="0F4761" w:themeColor="accent1" w:themeShade="BF"/>
    </w:rPr>
  </w:style>
  <w:style w:type="paragraph" w:styleId="IntenseQuote">
    <w:name w:val="Intense Quote"/>
    <w:basedOn w:val="Normal"/>
    <w:next w:val="Normal"/>
    <w:link w:val="IntenseQuoteChar"/>
    <w:uiPriority w:val="30"/>
    <w:qFormat/>
    <w:rsid w:val="009E2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D7"/>
    <w:rPr>
      <w:i/>
      <w:iCs/>
      <w:color w:val="0F4761" w:themeColor="accent1" w:themeShade="BF"/>
    </w:rPr>
  </w:style>
  <w:style w:type="character" w:styleId="IntenseReference">
    <w:name w:val="Intense Reference"/>
    <w:basedOn w:val="DefaultParagraphFont"/>
    <w:uiPriority w:val="32"/>
    <w:qFormat/>
    <w:rsid w:val="009E23D7"/>
    <w:rPr>
      <w:b/>
      <w:bCs/>
      <w:smallCaps/>
      <w:color w:val="0F4761" w:themeColor="accent1" w:themeShade="BF"/>
      <w:spacing w:val="5"/>
    </w:rPr>
  </w:style>
  <w:style w:type="paragraph" w:styleId="Header">
    <w:name w:val="header"/>
    <w:basedOn w:val="Normal"/>
    <w:link w:val="HeaderChar"/>
    <w:uiPriority w:val="99"/>
    <w:unhideWhenUsed/>
    <w:rsid w:val="009E2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3D7"/>
  </w:style>
  <w:style w:type="paragraph" w:styleId="Footer">
    <w:name w:val="footer"/>
    <w:basedOn w:val="Normal"/>
    <w:link w:val="FooterChar"/>
    <w:uiPriority w:val="99"/>
    <w:unhideWhenUsed/>
    <w:rsid w:val="009E2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3D7"/>
  </w:style>
  <w:style w:type="character" w:styleId="Hyperlink">
    <w:name w:val="Hyperlink"/>
    <w:basedOn w:val="DefaultParagraphFont"/>
    <w:uiPriority w:val="99"/>
    <w:unhideWhenUsed/>
    <w:rsid w:val="0084498F"/>
    <w:rPr>
      <w:color w:val="467886" w:themeColor="hyperlink"/>
      <w:u w:val="single"/>
    </w:rPr>
  </w:style>
  <w:style w:type="character" w:styleId="UnresolvedMention">
    <w:name w:val="Unresolved Mention"/>
    <w:basedOn w:val="DefaultParagraphFont"/>
    <w:uiPriority w:val="99"/>
    <w:semiHidden/>
    <w:unhideWhenUsed/>
    <w:rsid w:val="005C5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75/0116/latest/DLM436586.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egislation.govt.nz/act/public/1975/0116/latest/DLM436586.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choolnurses.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Cammell</dc:creator>
  <cp:keywords/>
  <dc:description/>
  <cp:lastModifiedBy>Christine Cammell</cp:lastModifiedBy>
  <cp:revision>2</cp:revision>
  <dcterms:created xsi:type="dcterms:W3CDTF">2025-10-07T05:10:00Z</dcterms:created>
  <dcterms:modified xsi:type="dcterms:W3CDTF">2025-10-07T05:10:00Z</dcterms:modified>
</cp:coreProperties>
</file>