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359F" w14:textId="77777777" w:rsidR="00471E5C" w:rsidRPr="003550AF" w:rsidRDefault="00471E5C" w:rsidP="00471E5C">
      <w:pPr>
        <w:rPr>
          <w:b/>
          <w:bCs/>
          <w:color w:val="156082" w:themeColor="accent1"/>
        </w:rPr>
      </w:pPr>
      <w:r>
        <w:rPr>
          <w:b/>
          <w:bCs/>
          <w:color w:val="156082" w:themeColor="accent1"/>
        </w:rPr>
        <w:t xml:space="preserve">[These guidelines are created as an adaptable template. It is highly recommended that they are adapted to your school setting and reviewed to ensure they address each school’s specific needs. You may like to include your </w:t>
      </w:r>
      <w:proofErr w:type="gramStart"/>
      <w:r>
        <w:rPr>
          <w:b/>
          <w:bCs/>
          <w:color w:val="156082" w:themeColor="accent1"/>
        </w:rPr>
        <w:t>school</w:t>
      </w:r>
      <w:proofErr w:type="gramEnd"/>
      <w:r>
        <w:rPr>
          <w:b/>
          <w:bCs/>
          <w:color w:val="156082" w:themeColor="accent1"/>
        </w:rPr>
        <w:t xml:space="preserve"> name and logo, a review date, and any signatures/designated reviewer details]. </w:t>
      </w:r>
    </w:p>
    <w:p w14:paraId="60A707F5" w14:textId="77777777" w:rsidR="00471E5C" w:rsidRDefault="00471E5C" w:rsidP="009E23D7">
      <w:pPr>
        <w:rPr>
          <w:b/>
          <w:bCs/>
        </w:rPr>
      </w:pPr>
    </w:p>
    <w:p w14:paraId="2CEF4CD5" w14:textId="77777777" w:rsidR="00B7755F" w:rsidRPr="00B7755F" w:rsidRDefault="00B7755F" w:rsidP="00B7755F">
      <w:pPr>
        <w:rPr>
          <w:b/>
          <w:bCs/>
        </w:rPr>
      </w:pPr>
      <w:r w:rsidRPr="00B7755F">
        <w:rPr>
          <w:b/>
          <w:bCs/>
        </w:rPr>
        <w:t>Consent, Confidentiality, and Health Information Management – School Nurses</w:t>
      </w:r>
    </w:p>
    <w:p w14:paraId="7363602B" w14:textId="77777777" w:rsidR="00B7755F" w:rsidRPr="00B7755F" w:rsidRDefault="00B7755F" w:rsidP="00B7755F">
      <w:pPr>
        <w:rPr>
          <w:b/>
          <w:bCs/>
        </w:rPr>
      </w:pPr>
      <w:r w:rsidRPr="00B7755F">
        <w:rPr>
          <w:b/>
          <w:bCs/>
        </w:rPr>
        <w:t>Purpose</w:t>
      </w:r>
    </w:p>
    <w:p w14:paraId="466D34D3" w14:textId="77777777" w:rsidR="00B7755F" w:rsidRPr="00B7755F" w:rsidRDefault="00B7755F" w:rsidP="00B7755F">
      <w:pPr>
        <w:rPr>
          <w:b/>
          <w:bCs/>
        </w:rPr>
      </w:pPr>
      <w:r w:rsidRPr="00B7755F">
        <w:rPr>
          <w:b/>
          <w:bCs/>
        </w:rPr>
        <w:t>To ensure that school nurses collect, use, store, and share student health information in a way that is legally compliant, ethical, and respectful of student and family rights.</w:t>
      </w:r>
    </w:p>
    <w:p w14:paraId="66906F5F" w14:textId="77777777" w:rsidR="00B7755F" w:rsidRPr="00B7755F" w:rsidRDefault="00000000" w:rsidP="00B7755F">
      <w:pPr>
        <w:rPr>
          <w:b/>
          <w:bCs/>
        </w:rPr>
      </w:pPr>
      <w:r>
        <w:rPr>
          <w:b/>
          <w:bCs/>
        </w:rPr>
        <w:pict w14:anchorId="2C286443">
          <v:rect id="_x0000_i1025" style="width:0;height:1.5pt" o:hralign="center" o:hrstd="t" o:hr="t" fillcolor="#a0a0a0" stroked="f"/>
        </w:pict>
      </w:r>
    </w:p>
    <w:p w14:paraId="4E0D7EDB" w14:textId="77777777" w:rsidR="00B7755F" w:rsidRPr="00B7755F" w:rsidRDefault="00B7755F" w:rsidP="00B7755F">
      <w:pPr>
        <w:rPr>
          <w:b/>
          <w:bCs/>
        </w:rPr>
      </w:pPr>
      <w:r w:rsidRPr="00B7755F">
        <w:rPr>
          <w:b/>
          <w:bCs/>
        </w:rPr>
        <w:t>Scope</w:t>
      </w:r>
    </w:p>
    <w:p w14:paraId="76C86E3F" w14:textId="1A8EF031" w:rsidR="00B7755F" w:rsidRPr="00B7755F" w:rsidRDefault="00B7755F" w:rsidP="00B7755F">
      <w:pPr>
        <w:numPr>
          <w:ilvl w:val="0"/>
          <w:numId w:val="8"/>
        </w:numPr>
        <w:rPr>
          <w:b/>
          <w:bCs/>
        </w:rPr>
      </w:pPr>
      <w:r w:rsidRPr="00B7755F">
        <w:rPr>
          <w:b/>
          <w:bCs/>
        </w:rPr>
        <w:t xml:space="preserve">Applies to all Registered Nurses, </w:t>
      </w:r>
      <w:r>
        <w:rPr>
          <w:b/>
          <w:bCs/>
        </w:rPr>
        <w:t xml:space="preserve">Enrolled Nurses, and </w:t>
      </w:r>
      <w:r w:rsidRPr="00B7755F">
        <w:rPr>
          <w:b/>
          <w:bCs/>
        </w:rPr>
        <w:t>Nurse Practitioners, involved in the care of students.</w:t>
      </w:r>
    </w:p>
    <w:p w14:paraId="023A6D2A" w14:textId="77777777" w:rsidR="00B7755F" w:rsidRPr="00B7755F" w:rsidRDefault="00B7755F" w:rsidP="00B7755F">
      <w:pPr>
        <w:numPr>
          <w:ilvl w:val="0"/>
          <w:numId w:val="8"/>
        </w:numPr>
        <w:rPr>
          <w:b/>
          <w:bCs/>
        </w:rPr>
      </w:pPr>
      <w:r w:rsidRPr="00B7755F">
        <w:rPr>
          <w:b/>
          <w:bCs/>
        </w:rPr>
        <w:t xml:space="preserve">Covers all forms of health </w:t>
      </w:r>
      <w:proofErr w:type="gramStart"/>
      <w:r w:rsidRPr="00B7755F">
        <w:rPr>
          <w:b/>
          <w:bCs/>
        </w:rPr>
        <w:t>information:</w:t>
      </w:r>
      <w:proofErr w:type="gramEnd"/>
      <w:r w:rsidRPr="00B7755F">
        <w:rPr>
          <w:b/>
          <w:bCs/>
        </w:rPr>
        <w:t xml:space="preserve"> written, electronic (KAMAR, MAR, SMS), verbal, and digital.</w:t>
      </w:r>
    </w:p>
    <w:p w14:paraId="167A848E" w14:textId="77777777" w:rsidR="00B7755F" w:rsidRPr="00B7755F" w:rsidRDefault="00000000" w:rsidP="00B7755F">
      <w:pPr>
        <w:rPr>
          <w:b/>
          <w:bCs/>
        </w:rPr>
      </w:pPr>
      <w:r>
        <w:rPr>
          <w:b/>
          <w:bCs/>
        </w:rPr>
        <w:pict w14:anchorId="249B24D9">
          <v:rect id="_x0000_i1026" style="width:0;height:1.5pt" o:hralign="center" o:hrstd="t" o:hr="t" fillcolor="#a0a0a0" stroked="f"/>
        </w:pict>
      </w:r>
    </w:p>
    <w:p w14:paraId="753BFA13" w14:textId="77777777" w:rsidR="00B7755F" w:rsidRPr="00B7755F" w:rsidRDefault="00B7755F" w:rsidP="00B7755F">
      <w:pPr>
        <w:rPr>
          <w:b/>
          <w:bCs/>
        </w:rPr>
      </w:pPr>
      <w:r w:rsidRPr="00B7755F">
        <w:rPr>
          <w:b/>
          <w:bCs/>
        </w:rPr>
        <w:t>Consent</w:t>
      </w:r>
    </w:p>
    <w:p w14:paraId="18F5AE7B" w14:textId="77777777" w:rsidR="00B7755F" w:rsidRPr="00B7755F" w:rsidRDefault="00B7755F" w:rsidP="00B7755F">
      <w:pPr>
        <w:numPr>
          <w:ilvl w:val="0"/>
          <w:numId w:val="9"/>
        </w:numPr>
        <w:rPr>
          <w:b/>
          <w:bCs/>
        </w:rPr>
      </w:pPr>
      <w:r w:rsidRPr="00B7755F">
        <w:rPr>
          <w:b/>
          <w:bCs/>
        </w:rPr>
        <w:t>Parental/Caregiver Consent</w:t>
      </w:r>
    </w:p>
    <w:p w14:paraId="243356AA" w14:textId="77777777" w:rsidR="00B7755F" w:rsidRPr="00B7755F" w:rsidRDefault="00B7755F" w:rsidP="00B7755F">
      <w:pPr>
        <w:numPr>
          <w:ilvl w:val="1"/>
          <w:numId w:val="9"/>
        </w:numPr>
        <w:rPr>
          <w:b/>
          <w:bCs/>
        </w:rPr>
      </w:pPr>
      <w:r w:rsidRPr="00B7755F">
        <w:rPr>
          <w:b/>
          <w:bCs/>
        </w:rPr>
        <w:t>Required for administration of medications, health interventions, screenings, and sharing of health information.</w:t>
      </w:r>
    </w:p>
    <w:p w14:paraId="60907127" w14:textId="77777777" w:rsidR="00B7755F" w:rsidRPr="00B7755F" w:rsidRDefault="00B7755F" w:rsidP="00B7755F">
      <w:pPr>
        <w:numPr>
          <w:ilvl w:val="1"/>
          <w:numId w:val="9"/>
        </w:numPr>
        <w:rPr>
          <w:b/>
          <w:bCs/>
        </w:rPr>
      </w:pPr>
      <w:r w:rsidRPr="00B7755F">
        <w:rPr>
          <w:b/>
          <w:bCs/>
        </w:rPr>
        <w:t>Consent must be documented in writing (paper or electronic).</w:t>
      </w:r>
    </w:p>
    <w:p w14:paraId="2051C441" w14:textId="77777777" w:rsidR="00B7755F" w:rsidRPr="00B7755F" w:rsidRDefault="00B7755F" w:rsidP="00B7755F">
      <w:pPr>
        <w:numPr>
          <w:ilvl w:val="1"/>
          <w:numId w:val="9"/>
        </w:numPr>
        <w:rPr>
          <w:b/>
          <w:bCs/>
        </w:rPr>
      </w:pPr>
      <w:r w:rsidRPr="00B7755F">
        <w:rPr>
          <w:b/>
          <w:bCs/>
        </w:rPr>
        <w:t>Consent can be specific (single intervention) or general (ongoing care).</w:t>
      </w:r>
    </w:p>
    <w:p w14:paraId="7BE2B858" w14:textId="77777777" w:rsidR="00B7755F" w:rsidRPr="00B7755F" w:rsidRDefault="00B7755F" w:rsidP="00B7755F">
      <w:pPr>
        <w:numPr>
          <w:ilvl w:val="0"/>
          <w:numId w:val="9"/>
        </w:numPr>
        <w:rPr>
          <w:b/>
          <w:bCs/>
        </w:rPr>
      </w:pPr>
      <w:r w:rsidRPr="00B7755F">
        <w:rPr>
          <w:b/>
          <w:bCs/>
        </w:rPr>
        <w:t>Student Consent</w:t>
      </w:r>
    </w:p>
    <w:p w14:paraId="43C6F3CA" w14:textId="77777777" w:rsidR="00B7755F" w:rsidRDefault="00B7755F" w:rsidP="00B7755F">
      <w:pPr>
        <w:numPr>
          <w:ilvl w:val="1"/>
          <w:numId w:val="9"/>
        </w:numPr>
        <w:rPr>
          <w:b/>
          <w:bCs/>
        </w:rPr>
      </w:pPr>
      <w:r w:rsidRPr="00B7755F">
        <w:rPr>
          <w:b/>
          <w:bCs/>
        </w:rPr>
        <w:t>Students may provide consent for age-appropriate interventions in accordance with Gillick competency principles.</w:t>
      </w:r>
    </w:p>
    <w:p w14:paraId="5BF04A06" w14:textId="072DA428" w:rsidR="00B7755F" w:rsidRPr="00B7755F" w:rsidRDefault="00B7755F" w:rsidP="00B7755F">
      <w:pPr>
        <w:numPr>
          <w:ilvl w:val="1"/>
          <w:numId w:val="9"/>
        </w:numPr>
        <w:rPr>
          <w:b/>
          <w:bCs/>
        </w:rPr>
      </w:pPr>
      <w:r>
        <w:rPr>
          <w:b/>
          <w:bCs/>
        </w:rPr>
        <w:t xml:space="preserve">Students can legally consent at age 16. Best practice is to notify parents wherever possible with </w:t>
      </w:r>
      <w:proofErr w:type="gramStart"/>
      <w:r>
        <w:rPr>
          <w:b/>
          <w:bCs/>
        </w:rPr>
        <w:t>students</w:t>
      </w:r>
      <w:proofErr w:type="gramEnd"/>
      <w:r>
        <w:rPr>
          <w:b/>
          <w:bCs/>
        </w:rPr>
        <w:t xml:space="preserve"> permission if over 16. </w:t>
      </w:r>
    </w:p>
    <w:p w14:paraId="428374E8" w14:textId="77777777" w:rsidR="00B7755F" w:rsidRPr="00B7755F" w:rsidRDefault="00B7755F" w:rsidP="00B7755F">
      <w:pPr>
        <w:numPr>
          <w:ilvl w:val="1"/>
          <w:numId w:val="9"/>
        </w:numPr>
        <w:rPr>
          <w:b/>
          <w:bCs/>
        </w:rPr>
      </w:pPr>
      <w:r w:rsidRPr="00B7755F">
        <w:rPr>
          <w:b/>
          <w:bCs/>
        </w:rPr>
        <w:lastRenderedPageBreak/>
        <w:t>Nurses must assess capacity, document consent, and involve parents where appropriate.</w:t>
      </w:r>
    </w:p>
    <w:p w14:paraId="4828D108" w14:textId="77777777" w:rsidR="00B7755F" w:rsidRPr="00B7755F" w:rsidRDefault="00B7755F" w:rsidP="00B7755F">
      <w:pPr>
        <w:numPr>
          <w:ilvl w:val="0"/>
          <w:numId w:val="9"/>
        </w:numPr>
        <w:rPr>
          <w:b/>
          <w:bCs/>
        </w:rPr>
      </w:pPr>
      <w:r w:rsidRPr="00B7755F">
        <w:rPr>
          <w:b/>
          <w:bCs/>
        </w:rPr>
        <w:t>Withdrawal or Refusal of Consent</w:t>
      </w:r>
    </w:p>
    <w:p w14:paraId="60E7F732" w14:textId="77777777" w:rsidR="00B7755F" w:rsidRPr="00B7755F" w:rsidRDefault="00B7755F" w:rsidP="00B7755F">
      <w:pPr>
        <w:numPr>
          <w:ilvl w:val="1"/>
          <w:numId w:val="9"/>
        </w:numPr>
        <w:rPr>
          <w:b/>
          <w:bCs/>
        </w:rPr>
      </w:pPr>
      <w:r w:rsidRPr="00B7755F">
        <w:rPr>
          <w:b/>
          <w:bCs/>
        </w:rPr>
        <w:t>Students or parents may withdraw consent at any time.</w:t>
      </w:r>
    </w:p>
    <w:p w14:paraId="3E032A75" w14:textId="77777777" w:rsidR="00B7755F" w:rsidRPr="00B7755F" w:rsidRDefault="00B7755F" w:rsidP="00B7755F">
      <w:pPr>
        <w:numPr>
          <w:ilvl w:val="1"/>
          <w:numId w:val="9"/>
        </w:numPr>
        <w:rPr>
          <w:b/>
          <w:bCs/>
        </w:rPr>
      </w:pPr>
      <w:r w:rsidRPr="00B7755F">
        <w:rPr>
          <w:b/>
          <w:bCs/>
        </w:rPr>
        <w:t>Document the withdrawal and ensure care plans are updated.</w:t>
      </w:r>
    </w:p>
    <w:p w14:paraId="1A80968F" w14:textId="77777777" w:rsidR="00B7755F" w:rsidRPr="00B7755F" w:rsidRDefault="00000000" w:rsidP="00B7755F">
      <w:pPr>
        <w:rPr>
          <w:b/>
          <w:bCs/>
        </w:rPr>
      </w:pPr>
      <w:r>
        <w:rPr>
          <w:b/>
          <w:bCs/>
        </w:rPr>
        <w:pict w14:anchorId="6EE16FBF">
          <v:rect id="_x0000_i1027" style="width:0;height:1.5pt" o:hralign="center" o:hrstd="t" o:hr="t" fillcolor="#a0a0a0" stroked="f"/>
        </w:pict>
      </w:r>
    </w:p>
    <w:p w14:paraId="521CAD70" w14:textId="77777777" w:rsidR="00B7755F" w:rsidRPr="00B7755F" w:rsidRDefault="00B7755F" w:rsidP="00B7755F">
      <w:pPr>
        <w:rPr>
          <w:b/>
          <w:bCs/>
        </w:rPr>
      </w:pPr>
      <w:r w:rsidRPr="00B7755F">
        <w:rPr>
          <w:b/>
          <w:bCs/>
        </w:rPr>
        <w:t>Confidentiality</w:t>
      </w:r>
    </w:p>
    <w:p w14:paraId="31367216" w14:textId="77777777" w:rsidR="00B7755F" w:rsidRPr="00B7755F" w:rsidRDefault="00B7755F" w:rsidP="00B7755F">
      <w:pPr>
        <w:numPr>
          <w:ilvl w:val="0"/>
          <w:numId w:val="10"/>
        </w:numPr>
        <w:rPr>
          <w:b/>
          <w:bCs/>
        </w:rPr>
      </w:pPr>
      <w:r w:rsidRPr="00B7755F">
        <w:rPr>
          <w:b/>
          <w:bCs/>
        </w:rPr>
        <w:t>Principles</w:t>
      </w:r>
    </w:p>
    <w:p w14:paraId="10C38C03" w14:textId="77777777" w:rsidR="00B7755F" w:rsidRPr="00B7755F" w:rsidRDefault="00B7755F" w:rsidP="00B7755F">
      <w:pPr>
        <w:numPr>
          <w:ilvl w:val="1"/>
          <w:numId w:val="10"/>
        </w:numPr>
        <w:rPr>
          <w:b/>
          <w:bCs/>
        </w:rPr>
      </w:pPr>
      <w:r w:rsidRPr="00B7755F">
        <w:rPr>
          <w:b/>
          <w:bCs/>
        </w:rPr>
        <w:t>All health information is confidential and must be protected.</w:t>
      </w:r>
    </w:p>
    <w:p w14:paraId="38DF16A6" w14:textId="77777777" w:rsidR="00B7755F" w:rsidRPr="00B7755F" w:rsidRDefault="00B7755F" w:rsidP="00B7755F">
      <w:pPr>
        <w:numPr>
          <w:ilvl w:val="1"/>
          <w:numId w:val="10"/>
        </w:numPr>
        <w:rPr>
          <w:b/>
          <w:bCs/>
        </w:rPr>
      </w:pPr>
      <w:r w:rsidRPr="00B7755F">
        <w:rPr>
          <w:b/>
          <w:bCs/>
        </w:rPr>
        <w:t>Disclosure is only permitted:</w:t>
      </w:r>
    </w:p>
    <w:p w14:paraId="6174A3B0" w14:textId="77777777" w:rsidR="00B7755F" w:rsidRPr="00B7755F" w:rsidRDefault="00B7755F" w:rsidP="00B7755F">
      <w:pPr>
        <w:numPr>
          <w:ilvl w:val="2"/>
          <w:numId w:val="10"/>
        </w:numPr>
        <w:rPr>
          <w:b/>
          <w:bCs/>
        </w:rPr>
      </w:pPr>
      <w:r w:rsidRPr="00B7755F">
        <w:rPr>
          <w:b/>
          <w:bCs/>
        </w:rPr>
        <w:t>With parent/student consent,</w:t>
      </w:r>
    </w:p>
    <w:p w14:paraId="52B8786B" w14:textId="77777777" w:rsidR="00B7755F" w:rsidRPr="00B7755F" w:rsidRDefault="00B7755F" w:rsidP="00B7755F">
      <w:pPr>
        <w:numPr>
          <w:ilvl w:val="2"/>
          <w:numId w:val="10"/>
        </w:numPr>
        <w:rPr>
          <w:b/>
          <w:bCs/>
        </w:rPr>
      </w:pPr>
      <w:r w:rsidRPr="00B7755F">
        <w:rPr>
          <w:b/>
          <w:bCs/>
        </w:rPr>
        <w:t>Where legally required (e.g., child protection, notifiable diseases), or</w:t>
      </w:r>
    </w:p>
    <w:p w14:paraId="09F086C7" w14:textId="77777777" w:rsidR="00B7755F" w:rsidRPr="00B7755F" w:rsidRDefault="00B7755F" w:rsidP="00B7755F">
      <w:pPr>
        <w:numPr>
          <w:ilvl w:val="2"/>
          <w:numId w:val="10"/>
        </w:numPr>
        <w:rPr>
          <w:b/>
          <w:bCs/>
        </w:rPr>
      </w:pPr>
      <w:r w:rsidRPr="00B7755F">
        <w:rPr>
          <w:b/>
          <w:bCs/>
        </w:rPr>
        <w:t>For direct care and safety purposes within the school health team.</w:t>
      </w:r>
    </w:p>
    <w:p w14:paraId="6B6F34F7" w14:textId="77777777" w:rsidR="00B7755F" w:rsidRPr="00B7755F" w:rsidRDefault="00B7755F" w:rsidP="00B7755F">
      <w:pPr>
        <w:numPr>
          <w:ilvl w:val="0"/>
          <w:numId w:val="10"/>
        </w:numPr>
        <w:rPr>
          <w:b/>
          <w:bCs/>
        </w:rPr>
      </w:pPr>
      <w:r w:rsidRPr="00B7755F">
        <w:rPr>
          <w:b/>
          <w:bCs/>
        </w:rPr>
        <w:t>Communication</w:t>
      </w:r>
    </w:p>
    <w:p w14:paraId="244FDC2C" w14:textId="77777777" w:rsidR="00B7755F" w:rsidRPr="00B7755F" w:rsidRDefault="00B7755F" w:rsidP="00B7755F">
      <w:pPr>
        <w:numPr>
          <w:ilvl w:val="1"/>
          <w:numId w:val="10"/>
        </w:numPr>
        <w:rPr>
          <w:b/>
          <w:bCs/>
        </w:rPr>
      </w:pPr>
      <w:r w:rsidRPr="00B7755F">
        <w:rPr>
          <w:b/>
          <w:bCs/>
        </w:rPr>
        <w:t>Discuss sensitive information in private spaces, not in corridors or classrooms.</w:t>
      </w:r>
    </w:p>
    <w:p w14:paraId="26BE41F4" w14:textId="77777777" w:rsidR="00B7755F" w:rsidRPr="00B7755F" w:rsidRDefault="00B7755F" w:rsidP="00B7755F">
      <w:pPr>
        <w:numPr>
          <w:ilvl w:val="1"/>
          <w:numId w:val="10"/>
        </w:numPr>
        <w:rPr>
          <w:b/>
          <w:bCs/>
        </w:rPr>
      </w:pPr>
      <w:r w:rsidRPr="00B7755F">
        <w:rPr>
          <w:b/>
          <w:bCs/>
        </w:rPr>
        <w:t>Avoid sharing identifying details unnecessarily.</w:t>
      </w:r>
    </w:p>
    <w:p w14:paraId="6BF4E96E" w14:textId="77777777" w:rsidR="00B7755F" w:rsidRPr="00B7755F" w:rsidRDefault="00B7755F" w:rsidP="00B7755F">
      <w:pPr>
        <w:numPr>
          <w:ilvl w:val="0"/>
          <w:numId w:val="10"/>
        </w:numPr>
        <w:rPr>
          <w:b/>
          <w:bCs/>
        </w:rPr>
      </w:pPr>
      <w:r w:rsidRPr="00B7755F">
        <w:rPr>
          <w:b/>
          <w:bCs/>
        </w:rPr>
        <w:t>Sharing Information with Teachers/Staff</w:t>
      </w:r>
    </w:p>
    <w:p w14:paraId="2DAC1F37" w14:textId="0F8DDFAA" w:rsidR="00B7755F" w:rsidRPr="00B7755F" w:rsidRDefault="00B7755F" w:rsidP="00B7755F">
      <w:pPr>
        <w:numPr>
          <w:ilvl w:val="1"/>
          <w:numId w:val="10"/>
        </w:numPr>
        <w:rPr>
          <w:b/>
          <w:bCs/>
        </w:rPr>
      </w:pPr>
      <w:r w:rsidRPr="00B7755F">
        <w:rPr>
          <w:b/>
          <w:bCs/>
        </w:rPr>
        <w:t>Share only what is necessary for student safety or learning support</w:t>
      </w:r>
      <w:r>
        <w:rPr>
          <w:b/>
          <w:bCs/>
        </w:rPr>
        <w:t xml:space="preserve">. </w:t>
      </w:r>
      <w:r>
        <w:t xml:space="preserve">An example of this may be sharing student food allergies with the food technology department. </w:t>
      </w:r>
    </w:p>
    <w:p w14:paraId="3F365D5E" w14:textId="77777777" w:rsidR="00B7755F" w:rsidRPr="00B7755F" w:rsidRDefault="00B7755F" w:rsidP="00B7755F">
      <w:pPr>
        <w:numPr>
          <w:ilvl w:val="1"/>
          <w:numId w:val="10"/>
        </w:numPr>
        <w:rPr>
          <w:b/>
          <w:bCs/>
        </w:rPr>
      </w:pPr>
      <w:r w:rsidRPr="00B7755F">
        <w:rPr>
          <w:b/>
          <w:bCs/>
        </w:rPr>
        <w:t>Preferably anonymized unless specific information is required (e.g., EpiPen administration).</w:t>
      </w:r>
    </w:p>
    <w:p w14:paraId="23A8B791" w14:textId="77777777" w:rsidR="00B7755F" w:rsidRPr="00B7755F" w:rsidRDefault="00000000" w:rsidP="00B7755F">
      <w:pPr>
        <w:rPr>
          <w:b/>
          <w:bCs/>
        </w:rPr>
      </w:pPr>
      <w:r>
        <w:rPr>
          <w:b/>
          <w:bCs/>
        </w:rPr>
        <w:pict w14:anchorId="5988E733">
          <v:rect id="_x0000_i1028" style="width:0;height:1.5pt" o:hralign="center" o:hrstd="t" o:hr="t" fillcolor="#a0a0a0" stroked="f"/>
        </w:pict>
      </w:r>
    </w:p>
    <w:p w14:paraId="1A96F60B" w14:textId="77777777" w:rsidR="00B7755F" w:rsidRPr="00B7755F" w:rsidRDefault="00B7755F" w:rsidP="00B7755F">
      <w:pPr>
        <w:rPr>
          <w:b/>
          <w:bCs/>
        </w:rPr>
      </w:pPr>
      <w:r w:rsidRPr="00B7755F">
        <w:rPr>
          <w:b/>
          <w:bCs/>
        </w:rPr>
        <w:t>Health Information Management</w:t>
      </w:r>
    </w:p>
    <w:p w14:paraId="2C69B899" w14:textId="77777777" w:rsidR="00B7755F" w:rsidRPr="00B7755F" w:rsidRDefault="00B7755F" w:rsidP="00B7755F">
      <w:pPr>
        <w:numPr>
          <w:ilvl w:val="0"/>
          <w:numId w:val="11"/>
        </w:numPr>
        <w:rPr>
          <w:b/>
          <w:bCs/>
        </w:rPr>
      </w:pPr>
      <w:r w:rsidRPr="00B7755F">
        <w:rPr>
          <w:b/>
          <w:bCs/>
        </w:rPr>
        <w:t>Record Keeping</w:t>
      </w:r>
    </w:p>
    <w:p w14:paraId="6EDB8CB0" w14:textId="77777777" w:rsidR="00B7755F" w:rsidRPr="00B7755F" w:rsidRDefault="00B7755F" w:rsidP="00B7755F">
      <w:pPr>
        <w:numPr>
          <w:ilvl w:val="1"/>
          <w:numId w:val="11"/>
        </w:numPr>
        <w:rPr>
          <w:b/>
          <w:bCs/>
        </w:rPr>
      </w:pPr>
      <w:r w:rsidRPr="00B7755F">
        <w:rPr>
          <w:b/>
          <w:bCs/>
        </w:rPr>
        <w:lastRenderedPageBreak/>
        <w:t>Maintain accurate, timely, and secure records for:</w:t>
      </w:r>
    </w:p>
    <w:p w14:paraId="77B1243C" w14:textId="77777777" w:rsidR="00B7755F" w:rsidRPr="00B7755F" w:rsidRDefault="00B7755F" w:rsidP="00B7755F">
      <w:pPr>
        <w:numPr>
          <w:ilvl w:val="2"/>
          <w:numId w:val="11"/>
        </w:numPr>
        <w:rPr>
          <w:b/>
          <w:bCs/>
        </w:rPr>
      </w:pPr>
      <w:r w:rsidRPr="00B7755F">
        <w:rPr>
          <w:b/>
          <w:bCs/>
        </w:rPr>
        <w:t>Medications administered</w:t>
      </w:r>
    </w:p>
    <w:p w14:paraId="61C80C01" w14:textId="77777777" w:rsidR="00B7755F" w:rsidRPr="00B7755F" w:rsidRDefault="00B7755F" w:rsidP="00B7755F">
      <w:pPr>
        <w:numPr>
          <w:ilvl w:val="2"/>
          <w:numId w:val="11"/>
        </w:numPr>
        <w:rPr>
          <w:b/>
          <w:bCs/>
        </w:rPr>
      </w:pPr>
      <w:r w:rsidRPr="00B7755F">
        <w:rPr>
          <w:b/>
          <w:bCs/>
        </w:rPr>
        <w:t>Health interventions</w:t>
      </w:r>
    </w:p>
    <w:p w14:paraId="52816618" w14:textId="77777777" w:rsidR="00B7755F" w:rsidRPr="00B7755F" w:rsidRDefault="00B7755F" w:rsidP="00B7755F">
      <w:pPr>
        <w:numPr>
          <w:ilvl w:val="2"/>
          <w:numId w:val="11"/>
        </w:numPr>
        <w:rPr>
          <w:b/>
          <w:bCs/>
        </w:rPr>
      </w:pPr>
      <w:r w:rsidRPr="00B7755F">
        <w:rPr>
          <w:b/>
          <w:bCs/>
        </w:rPr>
        <w:t>Screenings and assessments</w:t>
      </w:r>
    </w:p>
    <w:p w14:paraId="4936777E" w14:textId="77777777" w:rsidR="00B7755F" w:rsidRPr="00B7755F" w:rsidRDefault="00B7755F" w:rsidP="00B7755F">
      <w:pPr>
        <w:numPr>
          <w:ilvl w:val="2"/>
          <w:numId w:val="11"/>
        </w:numPr>
        <w:rPr>
          <w:b/>
          <w:bCs/>
        </w:rPr>
      </w:pPr>
      <w:r w:rsidRPr="00B7755F">
        <w:rPr>
          <w:b/>
          <w:bCs/>
        </w:rPr>
        <w:t>Allergies, conditions, or alerts</w:t>
      </w:r>
    </w:p>
    <w:p w14:paraId="4992EF45" w14:textId="77777777" w:rsidR="00B7755F" w:rsidRPr="00B7755F" w:rsidRDefault="00B7755F" w:rsidP="00B7755F">
      <w:pPr>
        <w:numPr>
          <w:ilvl w:val="1"/>
          <w:numId w:val="11"/>
        </w:numPr>
        <w:rPr>
          <w:b/>
          <w:bCs/>
        </w:rPr>
      </w:pPr>
      <w:r w:rsidRPr="00B7755F">
        <w:rPr>
          <w:b/>
          <w:bCs/>
        </w:rPr>
        <w:t>Use KAMAR or approved SMS for digital records; MAR sheets for manual documentation as required.</w:t>
      </w:r>
    </w:p>
    <w:p w14:paraId="24F20362" w14:textId="77777777" w:rsidR="00B7755F" w:rsidRPr="00B7755F" w:rsidRDefault="00B7755F" w:rsidP="00B7755F">
      <w:pPr>
        <w:numPr>
          <w:ilvl w:val="0"/>
          <w:numId w:val="11"/>
        </w:numPr>
        <w:rPr>
          <w:b/>
          <w:bCs/>
        </w:rPr>
      </w:pPr>
      <w:r w:rsidRPr="00B7755F">
        <w:rPr>
          <w:b/>
          <w:bCs/>
        </w:rPr>
        <w:t>Storage</w:t>
      </w:r>
    </w:p>
    <w:p w14:paraId="73788DDB" w14:textId="77777777" w:rsidR="00B7755F" w:rsidRDefault="00B7755F" w:rsidP="00B7755F">
      <w:pPr>
        <w:numPr>
          <w:ilvl w:val="1"/>
          <w:numId w:val="11"/>
        </w:numPr>
        <w:rPr>
          <w:b/>
          <w:bCs/>
        </w:rPr>
      </w:pPr>
      <w:r w:rsidRPr="00B7755F">
        <w:rPr>
          <w:b/>
          <w:bCs/>
        </w:rPr>
        <w:t>Electronic records: password-protected, access restricted to authorised staff.</w:t>
      </w:r>
    </w:p>
    <w:p w14:paraId="774A63BC" w14:textId="5E78F227" w:rsidR="00B7755F" w:rsidRPr="00B7755F" w:rsidRDefault="00B7755F" w:rsidP="00B7755F">
      <w:pPr>
        <w:numPr>
          <w:ilvl w:val="1"/>
          <w:numId w:val="11"/>
        </w:numPr>
        <w:rPr>
          <w:b/>
          <w:bCs/>
        </w:rPr>
      </w:pPr>
      <w:r>
        <w:t xml:space="preserve">Note: if using a school management system rather than a patient management system, be certain IT have removed all superusers and other users access from your confidential electronic records. </w:t>
      </w:r>
    </w:p>
    <w:p w14:paraId="72E700CB" w14:textId="77777777" w:rsidR="00B7755F" w:rsidRPr="00B7755F" w:rsidRDefault="00B7755F" w:rsidP="00B7755F">
      <w:pPr>
        <w:numPr>
          <w:ilvl w:val="1"/>
          <w:numId w:val="11"/>
        </w:numPr>
        <w:rPr>
          <w:b/>
          <w:bCs/>
        </w:rPr>
      </w:pPr>
      <w:r w:rsidRPr="00B7755F">
        <w:rPr>
          <w:b/>
          <w:bCs/>
        </w:rPr>
        <w:t>Paper records: locked cabinets, access restricted to authorised personnel.</w:t>
      </w:r>
    </w:p>
    <w:p w14:paraId="23165DDD" w14:textId="77777777" w:rsidR="00B7755F" w:rsidRPr="00B7755F" w:rsidRDefault="00B7755F" w:rsidP="00B7755F">
      <w:pPr>
        <w:numPr>
          <w:ilvl w:val="0"/>
          <w:numId w:val="11"/>
        </w:numPr>
        <w:rPr>
          <w:b/>
          <w:bCs/>
        </w:rPr>
      </w:pPr>
      <w:r w:rsidRPr="00B7755F">
        <w:rPr>
          <w:b/>
          <w:bCs/>
        </w:rPr>
        <w:t>Retention and Disposal</w:t>
      </w:r>
    </w:p>
    <w:p w14:paraId="2C1BB357" w14:textId="77777777" w:rsidR="00B7755F" w:rsidRPr="00B7755F" w:rsidRDefault="00B7755F" w:rsidP="00B7755F">
      <w:pPr>
        <w:numPr>
          <w:ilvl w:val="1"/>
          <w:numId w:val="11"/>
        </w:numPr>
        <w:rPr>
          <w:b/>
          <w:bCs/>
        </w:rPr>
      </w:pPr>
      <w:r w:rsidRPr="00B7755F">
        <w:rPr>
          <w:b/>
          <w:bCs/>
        </w:rPr>
        <w:t>Follow school policy and legal requirements for retention periods.</w:t>
      </w:r>
    </w:p>
    <w:p w14:paraId="3DBBD218" w14:textId="77777777" w:rsidR="00B7755F" w:rsidRPr="00B7755F" w:rsidRDefault="00B7755F" w:rsidP="00B7755F">
      <w:pPr>
        <w:numPr>
          <w:ilvl w:val="1"/>
          <w:numId w:val="11"/>
        </w:numPr>
        <w:rPr>
          <w:b/>
          <w:bCs/>
        </w:rPr>
      </w:pPr>
      <w:r w:rsidRPr="00B7755F">
        <w:rPr>
          <w:b/>
          <w:bCs/>
        </w:rPr>
        <w:t>Dispose of confidential information securely (shredding, secure deletion).</w:t>
      </w:r>
    </w:p>
    <w:p w14:paraId="6977B31D" w14:textId="77777777" w:rsidR="00B7755F" w:rsidRPr="00B7755F" w:rsidRDefault="00B7755F" w:rsidP="00B7755F">
      <w:pPr>
        <w:numPr>
          <w:ilvl w:val="0"/>
          <w:numId w:val="11"/>
        </w:numPr>
        <w:rPr>
          <w:b/>
          <w:bCs/>
        </w:rPr>
      </w:pPr>
      <w:r w:rsidRPr="00B7755F">
        <w:rPr>
          <w:b/>
          <w:bCs/>
        </w:rPr>
        <w:t>Access to Records</w:t>
      </w:r>
    </w:p>
    <w:p w14:paraId="301F5BEB" w14:textId="77777777" w:rsidR="00B7755F" w:rsidRPr="00B7755F" w:rsidRDefault="00B7755F" w:rsidP="00B7755F">
      <w:pPr>
        <w:numPr>
          <w:ilvl w:val="1"/>
          <w:numId w:val="11"/>
        </w:numPr>
        <w:rPr>
          <w:b/>
          <w:bCs/>
        </w:rPr>
      </w:pPr>
      <w:r w:rsidRPr="00B7755F">
        <w:rPr>
          <w:b/>
          <w:bCs/>
        </w:rPr>
        <w:t>Students or parents may request access to health records.</w:t>
      </w:r>
    </w:p>
    <w:p w14:paraId="3E160DEE" w14:textId="77777777" w:rsidR="00B7755F" w:rsidRPr="00B7755F" w:rsidRDefault="00B7755F" w:rsidP="00B7755F">
      <w:pPr>
        <w:numPr>
          <w:ilvl w:val="1"/>
          <w:numId w:val="11"/>
        </w:numPr>
        <w:rPr>
          <w:b/>
          <w:bCs/>
        </w:rPr>
      </w:pPr>
      <w:r w:rsidRPr="00B7755F">
        <w:rPr>
          <w:b/>
          <w:bCs/>
        </w:rPr>
        <w:t>Requests must be documented and handled according to school policy.</w:t>
      </w:r>
    </w:p>
    <w:p w14:paraId="6F2128D8" w14:textId="77777777" w:rsidR="00B7755F" w:rsidRPr="00B7755F" w:rsidRDefault="00000000" w:rsidP="00B7755F">
      <w:pPr>
        <w:rPr>
          <w:b/>
          <w:bCs/>
        </w:rPr>
      </w:pPr>
      <w:r>
        <w:rPr>
          <w:b/>
          <w:bCs/>
        </w:rPr>
        <w:pict w14:anchorId="741A7042">
          <v:rect id="_x0000_i1029" style="width:0;height:1.5pt" o:hralign="center" o:hrstd="t" o:hr="t" fillcolor="#a0a0a0" stroked="f"/>
        </w:pict>
      </w:r>
    </w:p>
    <w:p w14:paraId="6628C7F3" w14:textId="77777777" w:rsidR="00B7755F" w:rsidRPr="00B7755F" w:rsidRDefault="00B7755F" w:rsidP="00B7755F">
      <w:pPr>
        <w:rPr>
          <w:b/>
          <w:bCs/>
        </w:rPr>
      </w:pPr>
      <w:r w:rsidRPr="00B7755F">
        <w:rPr>
          <w:b/>
          <w:bCs/>
        </w:rPr>
        <w:t>Breaches of Confidentiality</w:t>
      </w:r>
    </w:p>
    <w:p w14:paraId="458B9B41" w14:textId="77777777" w:rsidR="00B7755F" w:rsidRPr="00B7755F" w:rsidRDefault="00B7755F" w:rsidP="00B7755F">
      <w:pPr>
        <w:numPr>
          <w:ilvl w:val="0"/>
          <w:numId w:val="12"/>
        </w:numPr>
        <w:rPr>
          <w:b/>
          <w:bCs/>
        </w:rPr>
      </w:pPr>
      <w:r w:rsidRPr="00B7755F">
        <w:rPr>
          <w:b/>
          <w:bCs/>
        </w:rPr>
        <w:t>Report any suspected breach immediately to school senior management.</w:t>
      </w:r>
    </w:p>
    <w:p w14:paraId="17CFEE9F" w14:textId="77777777" w:rsidR="00B7755F" w:rsidRPr="00B7755F" w:rsidRDefault="00B7755F" w:rsidP="00B7755F">
      <w:pPr>
        <w:numPr>
          <w:ilvl w:val="0"/>
          <w:numId w:val="12"/>
        </w:numPr>
        <w:rPr>
          <w:b/>
          <w:bCs/>
        </w:rPr>
      </w:pPr>
      <w:r w:rsidRPr="00B7755F">
        <w:rPr>
          <w:b/>
          <w:bCs/>
        </w:rPr>
        <w:t>Document the incident, actions taken, and follow-up measures.</w:t>
      </w:r>
    </w:p>
    <w:p w14:paraId="1F0213B8" w14:textId="77777777" w:rsidR="00B7755F" w:rsidRPr="00B7755F" w:rsidRDefault="00B7755F" w:rsidP="00B7755F">
      <w:pPr>
        <w:numPr>
          <w:ilvl w:val="0"/>
          <w:numId w:val="12"/>
        </w:numPr>
        <w:rPr>
          <w:b/>
          <w:bCs/>
        </w:rPr>
      </w:pPr>
      <w:r w:rsidRPr="00B7755F">
        <w:rPr>
          <w:b/>
          <w:bCs/>
        </w:rPr>
        <w:t>Review procedures to prevent recurrence.</w:t>
      </w:r>
    </w:p>
    <w:p w14:paraId="2DBB3809" w14:textId="77777777" w:rsidR="00B7755F" w:rsidRPr="00B7755F" w:rsidRDefault="00000000" w:rsidP="00B7755F">
      <w:pPr>
        <w:rPr>
          <w:b/>
          <w:bCs/>
        </w:rPr>
      </w:pPr>
      <w:r>
        <w:rPr>
          <w:b/>
          <w:bCs/>
        </w:rPr>
        <w:lastRenderedPageBreak/>
        <w:pict w14:anchorId="355180EC">
          <v:rect id="_x0000_i1030" style="width:0;height:1.5pt" o:hralign="center" o:hrstd="t" o:hr="t" fillcolor="#a0a0a0" stroked="f"/>
        </w:pict>
      </w:r>
    </w:p>
    <w:p w14:paraId="026181F9" w14:textId="77777777" w:rsidR="00B7755F" w:rsidRPr="00B7755F" w:rsidRDefault="00B7755F" w:rsidP="00B7755F">
      <w:pPr>
        <w:rPr>
          <w:b/>
          <w:bCs/>
        </w:rPr>
      </w:pPr>
      <w:r w:rsidRPr="00B7755F">
        <w:rPr>
          <w:b/>
          <w:bCs/>
        </w:rPr>
        <w:t>Training and Accountability</w:t>
      </w:r>
    </w:p>
    <w:p w14:paraId="71C3D29E" w14:textId="77777777" w:rsidR="00B7755F" w:rsidRPr="00B7755F" w:rsidRDefault="00B7755F" w:rsidP="00B7755F">
      <w:pPr>
        <w:numPr>
          <w:ilvl w:val="0"/>
          <w:numId w:val="13"/>
        </w:numPr>
        <w:rPr>
          <w:b/>
          <w:bCs/>
          <w:color w:val="156082" w:themeColor="accent1"/>
        </w:rPr>
      </w:pPr>
      <w:r w:rsidRPr="00B7755F">
        <w:rPr>
          <w:b/>
          <w:bCs/>
          <w:color w:val="156082" w:themeColor="accent1"/>
        </w:rPr>
        <w:t>All school nurses must undergo annual training on consent, confidentiality, and health information management.</w:t>
      </w:r>
    </w:p>
    <w:p w14:paraId="0073FB34" w14:textId="77777777" w:rsidR="00B7755F" w:rsidRPr="00B7755F" w:rsidRDefault="00B7755F" w:rsidP="00B7755F">
      <w:pPr>
        <w:numPr>
          <w:ilvl w:val="0"/>
          <w:numId w:val="13"/>
        </w:numPr>
        <w:rPr>
          <w:b/>
          <w:bCs/>
          <w:color w:val="156082" w:themeColor="accent1"/>
        </w:rPr>
      </w:pPr>
      <w:r w:rsidRPr="00B7755F">
        <w:rPr>
          <w:b/>
          <w:bCs/>
          <w:color w:val="156082" w:themeColor="accent1"/>
        </w:rPr>
        <w:t>Delegated staff must be trained and authorised before accessing health information.</w:t>
      </w:r>
    </w:p>
    <w:p w14:paraId="7C78B169" w14:textId="77777777" w:rsidR="00B7755F" w:rsidRPr="00B7755F" w:rsidRDefault="00B7755F" w:rsidP="00B7755F">
      <w:pPr>
        <w:numPr>
          <w:ilvl w:val="0"/>
          <w:numId w:val="13"/>
        </w:numPr>
        <w:rPr>
          <w:b/>
          <w:bCs/>
          <w:color w:val="156082" w:themeColor="accent1"/>
        </w:rPr>
      </w:pPr>
      <w:r w:rsidRPr="00B7755F">
        <w:rPr>
          <w:b/>
          <w:bCs/>
          <w:color w:val="156082" w:themeColor="accent1"/>
        </w:rPr>
        <w:t>Compliance monitored through audits and supervision.</w:t>
      </w:r>
    </w:p>
    <w:p w14:paraId="3D3AF9D7" w14:textId="77777777" w:rsidR="00B7755F" w:rsidRPr="00B7755F" w:rsidRDefault="00000000" w:rsidP="00B7755F">
      <w:pPr>
        <w:rPr>
          <w:b/>
          <w:bCs/>
        </w:rPr>
      </w:pPr>
      <w:r>
        <w:rPr>
          <w:b/>
          <w:bCs/>
        </w:rPr>
        <w:pict w14:anchorId="12CBBBC6">
          <v:rect id="_x0000_i1031" style="width:0;height:1.5pt" o:hralign="center" o:hrstd="t" o:hr="t" fillcolor="#a0a0a0" stroked="f"/>
        </w:pict>
      </w:r>
    </w:p>
    <w:p w14:paraId="29766AE9" w14:textId="77777777" w:rsidR="0052078C" w:rsidRPr="0052078C" w:rsidRDefault="0052078C" w:rsidP="0052078C">
      <w:pPr>
        <w:rPr>
          <w:b/>
          <w:bCs/>
        </w:rPr>
      </w:pPr>
      <w:r w:rsidRPr="0052078C">
        <w:rPr>
          <w:b/>
          <w:bCs/>
        </w:rPr>
        <w:t>Legal Framework for Consent in New Zealand</w:t>
      </w:r>
    </w:p>
    <w:p w14:paraId="3EF03D31" w14:textId="77777777" w:rsidR="0052078C" w:rsidRPr="0052078C" w:rsidRDefault="0052078C" w:rsidP="0052078C">
      <w:pPr>
        <w:numPr>
          <w:ilvl w:val="0"/>
          <w:numId w:val="15"/>
        </w:numPr>
        <w:rPr>
          <w:b/>
          <w:bCs/>
        </w:rPr>
      </w:pPr>
      <w:r w:rsidRPr="0052078C">
        <w:rPr>
          <w:b/>
          <w:bCs/>
        </w:rPr>
        <w:t xml:space="preserve">Age of Majority: In New Zealand, individuals aged 16 and over are legally considered adults and can independently consent to or refuse medical treatment. This is supported by the Care of Children Act 2004, which states that a child of or over the age of 16 has the same legal capacity as an adult to make decisions regarding medical treatment. </w:t>
      </w:r>
      <w:hyperlink r:id="rId7" w:tgtFrame="_blank" w:history="1">
        <w:r w:rsidRPr="0052078C">
          <w:rPr>
            <w:rStyle w:val="Hyperlink"/>
            <w:b/>
            <w:bCs/>
          </w:rPr>
          <w:t>New Zealand Legislation</w:t>
        </w:r>
      </w:hyperlink>
    </w:p>
    <w:p w14:paraId="216864C2" w14:textId="77777777" w:rsidR="0052078C" w:rsidRPr="0052078C" w:rsidRDefault="0052078C" w:rsidP="0052078C">
      <w:pPr>
        <w:numPr>
          <w:ilvl w:val="0"/>
          <w:numId w:val="15"/>
        </w:numPr>
        <w:rPr>
          <w:b/>
          <w:bCs/>
        </w:rPr>
      </w:pPr>
      <w:r w:rsidRPr="0052078C">
        <w:rPr>
          <w:b/>
          <w:bCs/>
        </w:rPr>
        <w:t>Under 16 Consent: For individuals under 16, the ability to consent to medical treatment depends on their maturity and understanding of the treatment. This is assessed using the principle of Gillick competence.</w:t>
      </w:r>
    </w:p>
    <w:p w14:paraId="3CEE25CB" w14:textId="77777777" w:rsidR="0052078C" w:rsidRPr="0052078C" w:rsidRDefault="00000000" w:rsidP="0052078C">
      <w:pPr>
        <w:rPr>
          <w:b/>
          <w:bCs/>
        </w:rPr>
      </w:pPr>
      <w:r>
        <w:rPr>
          <w:b/>
          <w:bCs/>
        </w:rPr>
        <w:pict w14:anchorId="6E4D605B">
          <v:rect id="_x0000_i1032" style="width:0;height:1.5pt" o:hralign="center" o:hrstd="t" o:hr="t" fillcolor="#a0a0a0" stroked="f"/>
        </w:pict>
      </w:r>
    </w:p>
    <w:p w14:paraId="172CA2E2" w14:textId="77777777" w:rsidR="0052078C" w:rsidRPr="0052078C" w:rsidRDefault="0052078C" w:rsidP="0052078C">
      <w:pPr>
        <w:rPr>
          <w:b/>
          <w:bCs/>
        </w:rPr>
      </w:pPr>
      <w:r w:rsidRPr="0052078C">
        <w:rPr>
          <w:b/>
          <w:bCs/>
        </w:rPr>
        <w:t>Gillick Competence in New Zealand</w:t>
      </w:r>
    </w:p>
    <w:p w14:paraId="26716C2E" w14:textId="77777777" w:rsidR="0052078C" w:rsidRPr="0052078C" w:rsidRDefault="0052078C" w:rsidP="0052078C">
      <w:pPr>
        <w:numPr>
          <w:ilvl w:val="0"/>
          <w:numId w:val="16"/>
        </w:numPr>
        <w:rPr>
          <w:b/>
          <w:bCs/>
        </w:rPr>
      </w:pPr>
      <w:r w:rsidRPr="0052078C">
        <w:rPr>
          <w:b/>
          <w:bCs/>
        </w:rPr>
        <w:t>Definition: Gillick competence refers to a minor's ability to understand the nature and consequences of a proposed medical treatment. If a minor demonstrates sufficient maturity and understanding, they may legally consent to their own medical treatment without parental involvement.</w:t>
      </w:r>
    </w:p>
    <w:p w14:paraId="684FDD67" w14:textId="77777777" w:rsidR="0052078C" w:rsidRPr="0052078C" w:rsidRDefault="0052078C" w:rsidP="0052078C">
      <w:pPr>
        <w:numPr>
          <w:ilvl w:val="0"/>
          <w:numId w:val="16"/>
        </w:numPr>
        <w:rPr>
          <w:b/>
          <w:bCs/>
        </w:rPr>
      </w:pPr>
      <w:r w:rsidRPr="0052078C">
        <w:rPr>
          <w:b/>
          <w:bCs/>
        </w:rPr>
        <w:t>Application in New Zealand: While New Zealand law does not explicitly adopt the Gillick competence test, the principle is recognized and applied in practice. The Health and Disability Commissioner emphasizes that health professionals should assess a minor's competence to consent based on their understanding of the treatment, its purpose, and potential risks.</w:t>
      </w:r>
    </w:p>
    <w:p w14:paraId="2AB9DCB1" w14:textId="338D45B5" w:rsidR="0052078C" w:rsidRDefault="00000000" w:rsidP="00B7755F">
      <w:pPr>
        <w:rPr>
          <w:b/>
          <w:bCs/>
        </w:rPr>
      </w:pPr>
      <w:r>
        <w:rPr>
          <w:b/>
          <w:bCs/>
        </w:rPr>
        <w:pict w14:anchorId="37542E9E">
          <v:rect id="_x0000_i1033" style="width:0;height:1.5pt" o:hralign="center" o:hrstd="t" o:hr="t" fillcolor="#a0a0a0" stroked="f"/>
        </w:pict>
      </w:r>
    </w:p>
    <w:p w14:paraId="1A8F7351" w14:textId="65F2B295" w:rsidR="00B7755F" w:rsidRPr="00B7755F" w:rsidRDefault="00B7755F" w:rsidP="00B7755F">
      <w:pPr>
        <w:rPr>
          <w:b/>
          <w:bCs/>
        </w:rPr>
      </w:pPr>
      <w:r w:rsidRPr="00B7755F">
        <w:rPr>
          <w:b/>
          <w:bCs/>
        </w:rPr>
        <w:t>References</w:t>
      </w:r>
    </w:p>
    <w:p w14:paraId="0C47A579" w14:textId="77777777" w:rsidR="00B7755F" w:rsidRPr="00B7755F" w:rsidRDefault="00B7755F" w:rsidP="00B7755F">
      <w:pPr>
        <w:numPr>
          <w:ilvl w:val="0"/>
          <w:numId w:val="14"/>
        </w:numPr>
        <w:rPr>
          <w:b/>
          <w:bCs/>
        </w:rPr>
      </w:pPr>
      <w:r w:rsidRPr="00B7755F">
        <w:rPr>
          <w:b/>
          <w:bCs/>
        </w:rPr>
        <w:t>Health Information Privacy Code 2020</w:t>
      </w:r>
    </w:p>
    <w:p w14:paraId="2DC3D934" w14:textId="77777777" w:rsidR="00B7755F" w:rsidRDefault="00B7755F" w:rsidP="00B7755F">
      <w:pPr>
        <w:numPr>
          <w:ilvl w:val="0"/>
          <w:numId w:val="14"/>
        </w:numPr>
        <w:rPr>
          <w:b/>
          <w:bCs/>
          <w:color w:val="156082" w:themeColor="accent1"/>
        </w:rPr>
      </w:pPr>
      <w:r w:rsidRPr="00B7755F">
        <w:rPr>
          <w:b/>
          <w:bCs/>
          <w:color w:val="156082" w:themeColor="accent1"/>
        </w:rPr>
        <w:lastRenderedPageBreak/>
        <w:t>School Policy on Student Records and Confidentiality</w:t>
      </w:r>
    </w:p>
    <w:p w14:paraId="16875D1E" w14:textId="6B4F8CB1" w:rsidR="00B7755F" w:rsidRDefault="00B7755F" w:rsidP="00B7755F">
      <w:pPr>
        <w:numPr>
          <w:ilvl w:val="0"/>
          <w:numId w:val="14"/>
        </w:numPr>
        <w:rPr>
          <w:b/>
          <w:bCs/>
        </w:rPr>
      </w:pPr>
      <w:r w:rsidRPr="00B7755F">
        <w:rPr>
          <w:b/>
          <w:bCs/>
        </w:rPr>
        <w:t>Health and Disability Commissioner (Code of Health and Disability Services Consumers' Rights) Regulations 1996</w:t>
      </w:r>
    </w:p>
    <w:p w14:paraId="35C7604A" w14:textId="21DB3B3B" w:rsidR="00B7755F" w:rsidRDefault="00B7755F" w:rsidP="00B7755F">
      <w:pPr>
        <w:numPr>
          <w:ilvl w:val="0"/>
          <w:numId w:val="14"/>
        </w:numPr>
        <w:rPr>
          <w:b/>
          <w:bCs/>
        </w:rPr>
      </w:pPr>
      <w:r w:rsidRPr="00B7755F">
        <w:rPr>
          <w:b/>
          <w:bCs/>
        </w:rPr>
        <w:t>Nursing Council of New Zealand's Code of Conduct</w:t>
      </w:r>
    </w:p>
    <w:p w14:paraId="1B5113CC" w14:textId="75103432" w:rsidR="0052078C" w:rsidRPr="0052078C" w:rsidRDefault="0052078C" w:rsidP="0052078C">
      <w:pPr>
        <w:numPr>
          <w:ilvl w:val="0"/>
          <w:numId w:val="14"/>
        </w:numPr>
        <w:rPr>
          <w:b/>
          <w:bCs/>
        </w:rPr>
      </w:pPr>
      <w:r w:rsidRPr="0052078C">
        <w:rPr>
          <w:b/>
          <w:bCs/>
        </w:rPr>
        <w:t>Care of Children Act 2004</w:t>
      </w:r>
    </w:p>
    <w:p w14:paraId="107144A4" w14:textId="600F39AE" w:rsidR="0052078C" w:rsidRPr="0052078C" w:rsidRDefault="0052078C" w:rsidP="0052078C">
      <w:pPr>
        <w:numPr>
          <w:ilvl w:val="0"/>
          <w:numId w:val="14"/>
        </w:numPr>
        <w:rPr>
          <w:b/>
          <w:bCs/>
        </w:rPr>
      </w:pPr>
      <w:r w:rsidRPr="0052078C">
        <w:rPr>
          <w:b/>
          <w:bCs/>
        </w:rPr>
        <w:t>Health and Disability Commissioner</w:t>
      </w:r>
    </w:p>
    <w:p w14:paraId="25BC00DE" w14:textId="77777777" w:rsidR="00C92774" w:rsidRDefault="0052078C" w:rsidP="00C92774">
      <w:pPr>
        <w:numPr>
          <w:ilvl w:val="0"/>
          <w:numId w:val="14"/>
        </w:numPr>
        <w:rPr>
          <w:b/>
          <w:bCs/>
        </w:rPr>
      </w:pPr>
      <w:proofErr w:type="spellStart"/>
      <w:r w:rsidRPr="0052078C">
        <w:rPr>
          <w:b/>
          <w:bCs/>
        </w:rPr>
        <w:t>YouthLaw</w:t>
      </w:r>
      <w:proofErr w:type="spellEnd"/>
      <w:r w:rsidR="009F28CF">
        <w:rPr>
          <w:b/>
          <w:bCs/>
        </w:rPr>
        <w:t xml:space="preserve">; </w:t>
      </w:r>
      <w:hyperlink r:id="rId8" w:history="1">
        <w:r w:rsidR="009F28CF" w:rsidRPr="00CF17E4">
          <w:rPr>
            <w:rStyle w:val="Hyperlink"/>
            <w:b/>
            <w:bCs/>
          </w:rPr>
          <w:t>https://youthlaw.co.nz/</w:t>
        </w:r>
      </w:hyperlink>
      <w:r w:rsidR="009F28CF">
        <w:rPr>
          <w:b/>
          <w:bCs/>
        </w:rPr>
        <w:t xml:space="preserve"> </w:t>
      </w:r>
    </w:p>
    <w:p w14:paraId="1EDEC7BF" w14:textId="04E6CFBC" w:rsidR="00C92774" w:rsidRPr="00C92774" w:rsidRDefault="00C92774" w:rsidP="00C92774">
      <w:pPr>
        <w:rPr>
          <w:b/>
          <w:bCs/>
        </w:rPr>
      </w:pPr>
      <w:r>
        <w:pict w14:anchorId="3B9A05D6">
          <v:rect id="_x0000_i1034" style="width:0;height:1.5pt" o:hralign="center" o:hrstd="t" o:hr="t" fillcolor="#a0a0a0" stroked="f"/>
        </w:pict>
      </w:r>
    </w:p>
    <w:p w14:paraId="63A1BE88" w14:textId="0F404A18" w:rsidR="00C92774" w:rsidRPr="00C92774" w:rsidRDefault="00C92774" w:rsidP="00C92774">
      <w:pPr>
        <w:rPr>
          <w:b/>
          <w:bCs/>
        </w:rPr>
      </w:pPr>
      <w:r w:rsidRPr="00C92774">
        <w:rPr>
          <w:b/>
          <w:bCs/>
        </w:rPr>
        <w:t xml:space="preserve">Abbreviations </w:t>
      </w:r>
    </w:p>
    <w:p w14:paraId="6CAC4617" w14:textId="77777777" w:rsidR="00C92774" w:rsidRDefault="00C92774" w:rsidP="00C92774">
      <w:pPr>
        <w:pStyle w:val="ListParagraph"/>
        <w:rPr>
          <w:b/>
          <w:bCs/>
        </w:rPr>
      </w:pPr>
    </w:p>
    <w:p w14:paraId="1B637D72" w14:textId="3E3A7695" w:rsidR="00C92774" w:rsidRDefault="00C92774" w:rsidP="00C92774">
      <w:pPr>
        <w:pStyle w:val="ListParagraph"/>
        <w:rPr>
          <w:b/>
          <w:bCs/>
        </w:rPr>
      </w:pPr>
      <w:r>
        <w:rPr>
          <w:b/>
          <w:bCs/>
        </w:rPr>
        <w:t>MAR – Medication Administration Record</w:t>
      </w:r>
    </w:p>
    <w:p w14:paraId="050A3BCF" w14:textId="03141BB0" w:rsidR="00C92774" w:rsidRDefault="00C92774" w:rsidP="00C92774">
      <w:pPr>
        <w:pStyle w:val="ListParagraph"/>
        <w:rPr>
          <w:b/>
          <w:bCs/>
        </w:rPr>
      </w:pPr>
      <w:r>
        <w:rPr>
          <w:b/>
          <w:bCs/>
        </w:rPr>
        <w:t xml:space="preserve">SMS – Student Management System </w:t>
      </w:r>
    </w:p>
    <w:p w14:paraId="2BD05A15" w14:textId="4F1A3DF7" w:rsidR="00C92774" w:rsidRDefault="00C92774" w:rsidP="00C92774">
      <w:pPr>
        <w:pStyle w:val="ListParagraph"/>
        <w:rPr>
          <w:b/>
          <w:bCs/>
        </w:rPr>
      </w:pPr>
      <w:r>
        <w:rPr>
          <w:b/>
          <w:bCs/>
        </w:rPr>
        <w:t xml:space="preserve">EMS – Education Management System </w:t>
      </w:r>
    </w:p>
    <w:p w14:paraId="40664CD9" w14:textId="22E89148" w:rsidR="00C92774" w:rsidRDefault="00C92774" w:rsidP="00C92774">
      <w:pPr>
        <w:pStyle w:val="ListParagraph"/>
        <w:rPr>
          <w:b/>
          <w:bCs/>
        </w:rPr>
      </w:pPr>
      <w:r>
        <w:rPr>
          <w:b/>
          <w:bCs/>
        </w:rPr>
        <w:t xml:space="preserve">PMS - Patient management System </w:t>
      </w:r>
    </w:p>
    <w:p w14:paraId="3F4733C8" w14:textId="77777777" w:rsidR="00C92774" w:rsidRPr="00C92774" w:rsidRDefault="00C92774" w:rsidP="00C92774">
      <w:pPr>
        <w:pStyle w:val="ListParagraph"/>
        <w:rPr>
          <w:b/>
          <w:bCs/>
        </w:rPr>
      </w:pPr>
    </w:p>
    <w:p w14:paraId="314309A8" w14:textId="77777777" w:rsidR="009E23D7" w:rsidRDefault="009E23D7" w:rsidP="00B7755F"/>
    <w:sectPr w:rsidR="009E23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7723" w14:textId="77777777" w:rsidR="00932543" w:rsidRDefault="00932543" w:rsidP="009E23D7">
      <w:pPr>
        <w:spacing w:after="0" w:line="240" w:lineRule="auto"/>
      </w:pPr>
      <w:r>
        <w:separator/>
      </w:r>
    </w:p>
  </w:endnote>
  <w:endnote w:type="continuationSeparator" w:id="0">
    <w:p w14:paraId="5214A8D0" w14:textId="77777777" w:rsidR="00932543" w:rsidRDefault="00932543" w:rsidP="009E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1D50" w14:textId="77777777" w:rsidR="00C92774" w:rsidRDefault="00C92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8E4A" w14:textId="77777777" w:rsidR="0084498F" w:rsidRDefault="0084498F" w:rsidP="0084498F">
    <w:pPr>
      <w:pStyle w:val="Footer"/>
      <w:jc w:val="center"/>
    </w:pPr>
    <w:r>
      <w:t xml:space="preserve">See </w:t>
    </w:r>
    <w:hyperlink r:id="rId1" w:history="1">
      <w:r w:rsidRPr="004A7314">
        <w:rPr>
          <w:rStyle w:val="Hyperlink"/>
        </w:rPr>
        <w:t>www.schoolnurses.org.nz</w:t>
      </w:r>
    </w:hyperlink>
    <w:r>
      <w:t xml:space="preserve"> for other guidelines and disclaimer of use.</w:t>
    </w:r>
  </w:p>
  <w:p w14:paraId="0EED7AF6" w14:textId="77777777" w:rsidR="0084498F" w:rsidRDefault="0084498F" w:rsidP="0084498F">
    <w:pPr>
      <w:pStyle w:val="Footer"/>
    </w:pPr>
    <w:r>
      <w:tab/>
    </w:r>
  </w:p>
  <w:p w14:paraId="3AC3799B" w14:textId="69C249B9" w:rsidR="009E23D7" w:rsidRPr="00B7755F" w:rsidRDefault="0084498F" w:rsidP="0084498F">
    <w:pPr>
      <w:pStyle w:val="Footer"/>
      <w:jc w:val="center"/>
    </w:pPr>
    <w:r>
      <w:t>V</w:t>
    </w:r>
    <w:r w:rsidR="00C92774">
      <w:t>3</w:t>
    </w:r>
    <w:r>
      <w:t xml:space="preserve"> </w:t>
    </w:r>
    <w:r w:rsidR="00C92774">
      <w:t>Oct</w:t>
    </w:r>
    <w:r>
      <w:t xml:space="preserve"> 2025 – </w:t>
    </w:r>
    <w:r w:rsidR="00B7755F" w:rsidRPr="00B7755F">
      <w:t>Consent, Confidentiality, and Health Information Management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3B97" w14:textId="77777777" w:rsidR="00C92774" w:rsidRDefault="00C9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BDD0" w14:textId="77777777" w:rsidR="00932543" w:rsidRDefault="00932543" w:rsidP="009E23D7">
      <w:pPr>
        <w:spacing w:after="0" w:line="240" w:lineRule="auto"/>
      </w:pPr>
      <w:r>
        <w:separator/>
      </w:r>
    </w:p>
  </w:footnote>
  <w:footnote w:type="continuationSeparator" w:id="0">
    <w:p w14:paraId="22472427" w14:textId="77777777" w:rsidR="00932543" w:rsidRDefault="00932543" w:rsidP="009E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F707" w14:textId="77777777" w:rsidR="00C92774" w:rsidRDefault="00C92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5181" w14:textId="08255BAB" w:rsidR="00471E5C" w:rsidRDefault="00471E5C" w:rsidP="00471E5C">
    <w:pPr>
      <w:pStyle w:val="Header"/>
      <w:jc w:val="right"/>
    </w:pPr>
    <w:r>
      <w:rPr>
        <w:noProof/>
      </w:rPr>
      <w:drawing>
        <wp:inline distT="0" distB="0" distL="0" distR="0" wp14:anchorId="4F4F2106" wp14:editId="29B2CEB4">
          <wp:extent cx="2168525" cy="704393"/>
          <wp:effectExtent l="0" t="0" r="0" b="0"/>
          <wp:docPr id="1611974980" name="Picture 1" descr="A black background with white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4980" name="Picture 1" descr="A black background with white letters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0364" cy="711487"/>
                  </a:xfrm>
                  <a:prstGeom prst="rect">
                    <a:avLst/>
                  </a:prstGeom>
                </pic:spPr>
              </pic:pic>
            </a:graphicData>
          </a:graphic>
        </wp:inline>
      </w:drawing>
    </w:r>
  </w:p>
  <w:sdt>
    <w:sdtPr>
      <w:id w:val="-1232764792"/>
      <w:docPartObj>
        <w:docPartGallery w:val="Watermarks"/>
        <w:docPartUnique/>
      </w:docPartObj>
    </w:sdtPr>
    <w:sdtContent>
      <w:p w14:paraId="3E07FB93" w14:textId="27008D8E" w:rsidR="009E23D7" w:rsidRDefault="00000000">
        <w:pPr>
          <w:pStyle w:val="Header"/>
        </w:pPr>
        <w:r>
          <w:rPr>
            <w:noProof/>
          </w:rPr>
          <w:pict w14:anchorId="32327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8197" w14:textId="77777777" w:rsidR="00C92774" w:rsidRDefault="00C92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287"/>
    <w:multiLevelType w:val="multilevel"/>
    <w:tmpl w:val="F78A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13BA9"/>
    <w:multiLevelType w:val="multilevel"/>
    <w:tmpl w:val="E216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B2A56"/>
    <w:multiLevelType w:val="multilevel"/>
    <w:tmpl w:val="A9BC1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37BA0"/>
    <w:multiLevelType w:val="multilevel"/>
    <w:tmpl w:val="E452D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D6B83"/>
    <w:multiLevelType w:val="multilevel"/>
    <w:tmpl w:val="B3A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93FFE"/>
    <w:multiLevelType w:val="multilevel"/>
    <w:tmpl w:val="570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94239"/>
    <w:multiLevelType w:val="multilevel"/>
    <w:tmpl w:val="707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B46EE"/>
    <w:multiLevelType w:val="multilevel"/>
    <w:tmpl w:val="B30A1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CD501A"/>
    <w:multiLevelType w:val="multilevel"/>
    <w:tmpl w:val="622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C0D32"/>
    <w:multiLevelType w:val="multilevel"/>
    <w:tmpl w:val="BB56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328B7"/>
    <w:multiLevelType w:val="multilevel"/>
    <w:tmpl w:val="428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23A1E"/>
    <w:multiLevelType w:val="multilevel"/>
    <w:tmpl w:val="A5D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D491F"/>
    <w:multiLevelType w:val="multilevel"/>
    <w:tmpl w:val="C5C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12006"/>
    <w:multiLevelType w:val="multilevel"/>
    <w:tmpl w:val="7C044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956EBE"/>
    <w:multiLevelType w:val="multilevel"/>
    <w:tmpl w:val="8EF8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66918"/>
    <w:multiLevelType w:val="multilevel"/>
    <w:tmpl w:val="270A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2164">
    <w:abstractNumId w:val="15"/>
  </w:num>
  <w:num w:numId="2" w16cid:durableId="1895389556">
    <w:abstractNumId w:val="12"/>
  </w:num>
  <w:num w:numId="3" w16cid:durableId="1328248337">
    <w:abstractNumId w:val="2"/>
  </w:num>
  <w:num w:numId="4" w16cid:durableId="1310552584">
    <w:abstractNumId w:val="8"/>
  </w:num>
  <w:num w:numId="5" w16cid:durableId="855005076">
    <w:abstractNumId w:val="14"/>
  </w:num>
  <w:num w:numId="6" w16cid:durableId="1652295006">
    <w:abstractNumId w:val="5"/>
  </w:num>
  <w:num w:numId="7" w16cid:durableId="694384948">
    <w:abstractNumId w:val="4"/>
  </w:num>
  <w:num w:numId="8" w16cid:durableId="1899824397">
    <w:abstractNumId w:val="11"/>
  </w:num>
  <w:num w:numId="9" w16cid:durableId="432701109">
    <w:abstractNumId w:val="13"/>
  </w:num>
  <w:num w:numId="10" w16cid:durableId="156918170">
    <w:abstractNumId w:val="7"/>
  </w:num>
  <w:num w:numId="11" w16cid:durableId="532498858">
    <w:abstractNumId w:val="3"/>
  </w:num>
  <w:num w:numId="12" w16cid:durableId="850724963">
    <w:abstractNumId w:val="9"/>
  </w:num>
  <w:num w:numId="13" w16cid:durableId="795179296">
    <w:abstractNumId w:val="0"/>
  </w:num>
  <w:num w:numId="14" w16cid:durableId="423384882">
    <w:abstractNumId w:val="6"/>
  </w:num>
  <w:num w:numId="15" w16cid:durableId="658122500">
    <w:abstractNumId w:val="10"/>
  </w:num>
  <w:num w:numId="16" w16cid:durableId="75760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D7"/>
    <w:rsid w:val="00030BC3"/>
    <w:rsid w:val="0004711C"/>
    <w:rsid w:val="00101BE0"/>
    <w:rsid w:val="0030531F"/>
    <w:rsid w:val="003E43A6"/>
    <w:rsid w:val="00471E5C"/>
    <w:rsid w:val="0050292D"/>
    <w:rsid w:val="0052078C"/>
    <w:rsid w:val="005E3461"/>
    <w:rsid w:val="0084498F"/>
    <w:rsid w:val="00932543"/>
    <w:rsid w:val="009E23D7"/>
    <w:rsid w:val="009F28CF"/>
    <w:rsid w:val="00B7755F"/>
    <w:rsid w:val="00C92774"/>
    <w:rsid w:val="00F82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E54"/>
  <w15:chartTrackingRefBased/>
  <w15:docId w15:val="{8489BDD9-77BB-4F9B-B2DA-CD40D6D0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D7"/>
    <w:rPr>
      <w:rFonts w:eastAsiaTheme="majorEastAsia" w:cstheme="majorBidi"/>
      <w:color w:val="272727" w:themeColor="text1" w:themeTint="D8"/>
    </w:rPr>
  </w:style>
  <w:style w:type="paragraph" w:styleId="Title">
    <w:name w:val="Title"/>
    <w:basedOn w:val="Normal"/>
    <w:next w:val="Normal"/>
    <w:link w:val="TitleChar"/>
    <w:uiPriority w:val="10"/>
    <w:qFormat/>
    <w:rsid w:val="009E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D7"/>
    <w:pPr>
      <w:spacing w:before="160"/>
      <w:jc w:val="center"/>
    </w:pPr>
    <w:rPr>
      <w:i/>
      <w:iCs/>
      <w:color w:val="404040" w:themeColor="text1" w:themeTint="BF"/>
    </w:rPr>
  </w:style>
  <w:style w:type="character" w:customStyle="1" w:styleId="QuoteChar">
    <w:name w:val="Quote Char"/>
    <w:basedOn w:val="DefaultParagraphFont"/>
    <w:link w:val="Quote"/>
    <w:uiPriority w:val="29"/>
    <w:rsid w:val="009E23D7"/>
    <w:rPr>
      <w:i/>
      <w:iCs/>
      <w:color w:val="404040" w:themeColor="text1" w:themeTint="BF"/>
    </w:rPr>
  </w:style>
  <w:style w:type="paragraph" w:styleId="ListParagraph">
    <w:name w:val="List Paragraph"/>
    <w:basedOn w:val="Normal"/>
    <w:uiPriority w:val="34"/>
    <w:qFormat/>
    <w:rsid w:val="009E23D7"/>
    <w:pPr>
      <w:ind w:left="720"/>
      <w:contextualSpacing/>
    </w:pPr>
  </w:style>
  <w:style w:type="character" w:styleId="IntenseEmphasis">
    <w:name w:val="Intense Emphasis"/>
    <w:basedOn w:val="DefaultParagraphFont"/>
    <w:uiPriority w:val="21"/>
    <w:qFormat/>
    <w:rsid w:val="009E23D7"/>
    <w:rPr>
      <w:i/>
      <w:iCs/>
      <w:color w:val="0F4761" w:themeColor="accent1" w:themeShade="BF"/>
    </w:rPr>
  </w:style>
  <w:style w:type="paragraph" w:styleId="IntenseQuote">
    <w:name w:val="Intense Quote"/>
    <w:basedOn w:val="Normal"/>
    <w:next w:val="Normal"/>
    <w:link w:val="IntenseQuoteChar"/>
    <w:uiPriority w:val="30"/>
    <w:qFormat/>
    <w:rsid w:val="009E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D7"/>
    <w:rPr>
      <w:i/>
      <w:iCs/>
      <w:color w:val="0F4761" w:themeColor="accent1" w:themeShade="BF"/>
    </w:rPr>
  </w:style>
  <w:style w:type="character" w:styleId="IntenseReference">
    <w:name w:val="Intense Reference"/>
    <w:basedOn w:val="DefaultParagraphFont"/>
    <w:uiPriority w:val="32"/>
    <w:qFormat/>
    <w:rsid w:val="009E23D7"/>
    <w:rPr>
      <w:b/>
      <w:bCs/>
      <w:smallCaps/>
      <w:color w:val="0F4761" w:themeColor="accent1" w:themeShade="BF"/>
      <w:spacing w:val="5"/>
    </w:rPr>
  </w:style>
  <w:style w:type="paragraph" w:styleId="Header">
    <w:name w:val="header"/>
    <w:basedOn w:val="Normal"/>
    <w:link w:val="HeaderChar"/>
    <w:uiPriority w:val="99"/>
    <w:unhideWhenUsed/>
    <w:rsid w:val="009E2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3D7"/>
  </w:style>
  <w:style w:type="paragraph" w:styleId="Footer">
    <w:name w:val="footer"/>
    <w:basedOn w:val="Normal"/>
    <w:link w:val="FooterChar"/>
    <w:uiPriority w:val="99"/>
    <w:unhideWhenUsed/>
    <w:rsid w:val="009E2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3D7"/>
  </w:style>
  <w:style w:type="character" w:styleId="Hyperlink">
    <w:name w:val="Hyperlink"/>
    <w:basedOn w:val="DefaultParagraphFont"/>
    <w:uiPriority w:val="99"/>
    <w:unhideWhenUsed/>
    <w:rsid w:val="0084498F"/>
    <w:rPr>
      <w:color w:val="467886" w:themeColor="hyperlink"/>
      <w:u w:val="single"/>
    </w:rPr>
  </w:style>
  <w:style w:type="character" w:styleId="UnresolvedMention">
    <w:name w:val="Unresolved Mention"/>
    <w:basedOn w:val="DefaultParagraphFont"/>
    <w:uiPriority w:val="99"/>
    <w:semiHidden/>
    <w:unhideWhenUsed/>
    <w:rsid w:val="0052078C"/>
    <w:rPr>
      <w:color w:val="605E5C"/>
      <w:shd w:val="clear" w:color="auto" w:fill="E1DFDD"/>
    </w:rPr>
  </w:style>
  <w:style w:type="paragraph" w:styleId="NormalWeb">
    <w:name w:val="Normal (Web)"/>
    <w:basedOn w:val="Normal"/>
    <w:uiPriority w:val="99"/>
    <w:semiHidden/>
    <w:unhideWhenUsed/>
    <w:rsid w:val="0052078C"/>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Strong">
    <w:name w:val="Strong"/>
    <w:basedOn w:val="DefaultParagraphFont"/>
    <w:uiPriority w:val="22"/>
    <w:qFormat/>
    <w:rsid w:val="0052078C"/>
    <w:rPr>
      <w:b/>
      <w:bCs/>
    </w:rPr>
  </w:style>
  <w:style w:type="character" w:customStyle="1" w:styleId="ms-1">
    <w:name w:val="ms-1"/>
    <w:basedOn w:val="DefaultParagraphFont"/>
    <w:rsid w:val="0052078C"/>
  </w:style>
  <w:style w:type="character" w:customStyle="1" w:styleId="max-w-15ch">
    <w:name w:val="max-w-[15ch]"/>
    <w:basedOn w:val="DefaultParagraphFont"/>
    <w:rsid w:val="00520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law.co.n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egislation.govt.nz/act/public/2004/0090/latest/DLM317462.html?utm_source=chatgp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choolnurses.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Cammell</dc:creator>
  <cp:keywords/>
  <dc:description/>
  <cp:lastModifiedBy>Christine Cammell</cp:lastModifiedBy>
  <cp:revision>2</cp:revision>
  <dcterms:created xsi:type="dcterms:W3CDTF">2025-10-07T05:04:00Z</dcterms:created>
  <dcterms:modified xsi:type="dcterms:W3CDTF">2025-10-07T05:04:00Z</dcterms:modified>
</cp:coreProperties>
</file>